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2AE4" w14:textId="77777777" w:rsidR="00571333" w:rsidRDefault="00571333" w:rsidP="00F46923">
      <w:pPr>
        <w:ind w:left="360"/>
        <w:jc w:val="center"/>
        <w:rPr>
          <w:b/>
        </w:rPr>
      </w:pPr>
    </w:p>
    <w:p w14:paraId="3B19B5AC" w14:textId="77777777" w:rsidR="00916414" w:rsidRPr="000C4CC4" w:rsidRDefault="00916414" w:rsidP="00F46923">
      <w:pPr>
        <w:spacing w:after="200"/>
        <w:rPr>
          <w:rFonts w:ascii="CG Times (W1)" w:hAnsi="CG Times (W1)"/>
          <w:bCs/>
          <w:i/>
          <w:color w:val="00197D"/>
          <w:sz w:val="8"/>
          <w:szCs w:val="20"/>
        </w:rPr>
      </w:pPr>
    </w:p>
    <w:p w14:paraId="21D77E9F" w14:textId="77777777" w:rsidR="008C08BA" w:rsidRPr="00544ED3" w:rsidRDefault="008C08BA" w:rsidP="008C08BA">
      <w:pPr>
        <w:spacing w:after="200" w:line="276" w:lineRule="auto"/>
        <w:rPr>
          <w:rFonts w:ascii="CG Times (W1)" w:hAnsi="CG Times (W1)"/>
          <w:bCs/>
          <w:i/>
          <w:color w:val="00197D"/>
          <w:sz w:val="40"/>
          <w:szCs w:val="20"/>
        </w:rPr>
      </w:pPr>
      <w:r w:rsidRPr="00544ED3">
        <w:rPr>
          <w:rFonts w:ascii="Calibri" w:eastAsia="Calibri" w:hAnsi="Calibri"/>
          <w:noProof/>
        </w:rPr>
        <w:drawing>
          <wp:anchor distT="0" distB="0" distL="114300" distR="114300" simplePos="0" relativeHeight="251661312" behindDoc="1" locked="0" layoutInCell="1" allowOverlap="1" wp14:anchorId="04AD07ED" wp14:editId="7D15B695">
            <wp:simplePos x="0" y="0"/>
            <wp:positionH relativeFrom="margin">
              <wp:align>center</wp:align>
            </wp:positionH>
            <wp:positionV relativeFrom="paragraph">
              <wp:posOffset>-416560</wp:posOffset>
            </wp:positionV>
            <wp:extent cx="937880" cy="956930"/>
            <wp:effectExtent l="0" t="0" r="0" b="0"/>
            <wp:wrapNone/>
            <wp:docPr id="5" name="Picture 5"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8" cstate="print"/>
                    <a:srcRect/>
                    <a:stretch>
                      <a:fillRect/>
                    </a:stretch>
                  </pic:blipFill>
                  <pic:spPr bwMode="auto">
                    <a:xfrm>
                      <a:off x="0" y="0"/>
                      <a:ext cx="937880" cy="956930"/>
                    </a:xfrm>
                    <a:prstGeom prst="rect">
                      <a:avLst/>
                    </a:prstGeom>
                    <a:noFill/>
                    <a:ln w="9525">
                      <a:noFill/>
                      <a:miter lim="800000"/>
                      <a:headEnd/>
                      <a:tailEnd/>
                    </a:ln>
                  </pic:spPr>
                </pic:pic>
              </a:graphicData>
            </a:graphic>
            <wp14:sizeRelV relativeFrom="margin">
              <wp14:pctHeight>0</wp14:pctHeight>
            </wp14:sizeRelV>
          </wp:anchor>
        </w:drawing>
      </w:r>
    </w:p>
    <w:p w14:paraId="63216031" w14:textId="77777777" w:rsidR="008C08BA" w:rsidRPr="008C08BA" w:rsidRDefault="008C08BA" w:rsidP="008C08BA">
      <w:pPr>
        <w:spacing w:after="200" w:line="276" w:lineRule="auto"/>
        <w:rPr>
          <w:rFonts w:ascii="CG Times (W1)" w:hAnsi="CG Times (W1)"/>
          <w:bCs/>
          <w:i/>
          <w:color w:val="00197D"/>
          <w:sz w:val="4"/>
          <w:szCs w:val="4"/>
        </w:rPr>
      </w:pPr>
    </w:p>
    <w:p w14:paraId="0E19E11C" w14:textId="77777777" w:rsidR="008C08BA" w:rsidRPr="00544ED3" w:rsidRDefault="008C08BA" w:rsidP="008C08BA">
      <w:pPr>
        <w:widowControl w:val="0"/>
        <w:spacing w:line="0" w:lineRule="atLeast"/>
        <w:jc w:val="center"/>
        <w:rPr>
          <w:bCs/>
          <w:i/>
          <w:color w:val="00197D"/>
          <w:sz w:val="40"/>
          <w:szCs w:val="20"/>
        </w:rPr>
      </w:pPr>
      <w:r w:rsidRPr="00544ED3">
        <w:rPr>
          <w:bCs/>
          <w:i/>
          <w:color w:val="00197D"/>
          <w:sz w:val="40"/>
          <w:szCs w:val="20"/>
        </w:rPr>
        <w:t>COMMONWEALTH of VIRGINIA</w:t>
      </w:r>
    </w:p>
    <w:p w14:paraId="11DDA918" w14:textId="77777777" w:rsidR="008C08BA" w:rsidRPr="00544ED3" w:rsidRDefault="008C08BA" w:rsidP="008C08BA">
      <w:pPr>
        <w:widowControl w:val="0"/>
        <w:spacing w:line="0" w:lineRule="atLeast"/>
        <w:jc w:val="center"/>
        <w:rPr>
          <w:rFonts w:eastAsia="Calibri"/>
          <w:color w:val="00197D"/>
          <w:sz w:val="6"/>
          <w:szCs w:val="6"/>
        </w:rPr>
      </w:pPr>
    </w:p>
    <w:tbl>
      <w:tblPr>
        <w:tblStyle w:val="TableGrid"/>
        <w:tblW w:w="125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066"/>
        <w:gridCol w:w="2707"/>
      </w:tblGrid>
      <w:tr w:rsidR="008C08BA" w:rsidRPr="00544ED3" w14:paraId="2321A7F2" w14:textId="77777777" w:rsidTr="007C2DB5">
        <w:trPr>
          <w:trHeight w:val="1196"/>
          <w:jc w:val="center"/>
        </w:trPr>
        <w:tc>
          <w:tcPr>
            <w:tcW w:w="2790" w:type="dxa"/>
            <w:shd w:val="clear" w:color="auto" w:fill="auto"/>
          </w:tcPr>
          <w:p w14:paraId="7FACC0DA" w14:textId="77777777" w:rsidR="008C08BA" w:rsidRPr="00544ED3" w:rsidRDefault="008C08BA" w:rsidP="007C2DB5">
            <w:pPr>
              <w:widowControl w:val="0"/>
              <w:spacing w:after="200" w:line="-151" w:lineRule="auto"/>
              <w:jc w:val="center"/>
              <w:rPr>
                <w:rFonts w:eastAsia="Calibri"/>
                <w:color w:val="00197D"/>
                <w:sz w:val="14"/>
                <w:szCs w:val="14"/>
              </w:rPr>
            </w:pPr>
            <w:r>
              <w:rPr>
                <w:rFonts w:eastAsia="Calibri"/>
                <w:caps/>
                <w:color w:val="00197D"/>
                <w:sz w:val="14"/>
                <w:szCs w:val="14"/>
              </w:rPr>
              <w:t>Nelson Smith</w:t>
            </w:r>
            <w:r w:rsidRPr="00544ED3">
              <w:rPr>
                <w:rFonts w:eastAsia="Calibri"/>
                <w:color w:val="00197D"/>
                <w:sz w:val="14"/>
                <w:szCs w:val="14"/>
              </w:rPr>
              <w:br/>
              <w:t xml:space="preserve"> COMMISSIONER</w:t>
            </w:r>
          </w:p>
          <w:p w14:paraId="216F61CF" w14:textId="77777777" w:rsidR="008C08BA" w:rsidRPr="00544ED3" w:rsidRDefault="008C08BA" w:rsidP="007C2DB5">
            <w:pPr>
              <w:widowControl w:val="0"/>
              <w:spacing w:after="200" w:line="287" w:lineRule="auto"/>
              <w:jc w:val="center"/>
              <w:rPr>
                <w:rFonts w:eastAsia="Calibri"/>
                <w:color w:val="00197D"/>
                <w:sz w:val="16"/>
              </w:rPr>
            </w:pPr>
          </w:p>
        </w:tc>
        <w:tc>
          <w:tcPr>
            <w:tcW w:w="7066" w:type="dxa"/>
            <w:shd w:val="clear" w:color="auto" w:fill="auto"/>
          </w:tcPr>
          <w:p w14:paraId="49080A5B" w14:textId="77777777" w:rsidR="008C08BA" w:rsidRPr="00544ED3" w:rsidRDefault="008C08BA" w:rsidP="007C2DB5">
            <w:pPr>
              <w:widowControl w:val="0"/>
              <w:spacing w:after="200" w:line="287" w:lineRule="auto"/>
              <w:jc w:val="center"/>
              <w:rPr>
                <w:rFonts w:eastAsia="Calibri"/>
                <w:color w:val="00197D"/>
                <w:sz w:val="16"/>
              </w:rPr>
            </w:pPr>
            <w:r w:rsidRPr="00544ED3">
              <w:rPr>
                <w:rFonts w:eastAsia="Calibri"/>
                <w:i/>
                <w:color w:val="00197D"/>
                <w:sz w:val="20"/>
              </w:rPr>
              <w:t>DEPARTMENT OF</w:t>
            </w:r>
            <w:r w:rsidRPr="00544ED3">
              <w:rPr>
                <w:rFonts w:eastAsia="Calibri"/>
                <w:i/>
                <w:color w:val="00197D"/>
                <w:sz w:val="20"/>
              </w:rPr>
              <w:br/>
              <w:t>BEHAVIORAL HEALTH AND DEVELOPMENTAL SERVICES</w:t>
            </w:r>
            <w:r w:rsidRPr="00544ED3">
              <w:rPr>
                <w:rFonts w:eastAsia="Calibri"/>
                <w:i/>
                <w:color w:val="00197D"/>
                <w:sz w:val="20"/>
              </w:rPr>
              <w:br/>
            </w:r>
            <w:r w:rsidRPr="00544ED3">
              <w:rPr>
                <w:rFonts w:eastAsia="Calibri"/>
                <w:color w:val="00197D"/>
                <w:sz w:val="16"/>
              </w:rPr>
              <w:t>Post Office Box 1797</w:t>
            </w:r>
            <w:r w:rsidRPr="00544ED3">
              <w:rPr>
                <w:rFonts w:eastAsia="Calibri"/>
                <w:color w:val="00197D"/>
                <w:sz w:val="16"/>
              </w:rPr>
              <w:br/>
              <w:t>Richmond, Virginia   23218-1797</w:t>
            </w:r>
          </w:p>
        </w:tc>
        <w:tc>
          <w:tcPr>
            <w:tcW w:w="2707" w:type="dxa"/>
            <w:shd w:val="clear" w:color="auto" w:fill="auto"/>
          </w:tcPr>
          <w:p w14:paraId="54821BD3" w14:textId="77777777" w:rsidR="008C08BA" w:rsidRPr="00544ED3" w:rsidRDefault="008C08BA" w:rsidP="007C2DB5">
            <w:pPr>
              <w:widowControl w:val="0"/>
              <w:spacing w:after="200" w:line="276" w:lineRule="auto"/>
              <w:jc w:val="center"/>
              <w:rPr>
                <w:rFonts w:eastAsia="Calibri"/>
                <w:color w:val="00197D"/>
                <w:sz w:val="14"/>
                <w:szCs w:val="14"/>
              </w:rPr>
            </w:pPr>
            <w:r w:rsidRPr="00544ED3">
              <w:rPr>
                <w:rFonts w:eastAsia="Calibri"/>
                <w:color w:val="00197D"/>
                <w:sz w:val="14"/>
                <w:szCs w:val="14"/>
              </w:rPr>
              <w:t>Telephone (804) 786-3921</w:t>
            </w:r>
            <w:r w:rsidRPr="00544ED3">
              <w:rPr>
                <w:rFonts w:eastAsia="Calibri"/>
                <w:color w:val="00197D"/>
                <w:sz w:val="14"/>
                <w:szCs w:val="14"/>
              </w:rPr>
              <w:br/>
              <w:t>Fax (804) 371-6638</w:t>
            </w:r>
            <w:r w:rsidRPr="00544ED3">
              <w:rPr>
                <w:rFonts w:eastAsia="Calibri"/>
                <w:color w:val="00197D"/>
                <w:sz w:val="14"/>
                <w:szCs w:val="14"/>
              </w:rPr>
              <w:br/>
              <w:t>www.dbhds.virginia.gov</w:t>
            </w:r>
          </w:p>
          <w:p w14:paraId="1E725488" w14:textId="77777777" w:rsidR="008C08BA" w:rsidRPr="00544ED3" w:rsidRDefault="008C08BA" w:rsidP="007C2DB5">
            <w:pPr>
              <w:widowControl w:val="0"/>
              <w:spacing w:after="200" w:line="287" w:lineRule="auto"/>
              <w:jc w:val="center"/>
              <w:rPr>
                <w:rFonts w:eastAsia="Calibri"/>
                <w:color w:val="00197D"/>
                <w:sz w:val="16"/>
              </w:rPr>
            </w:pPr>
          </w:p>
        </w:tc>
      </w:tr>
    </w:tbl>
    <w:p w14:paraId="5D34ADC7" w14:textId="47377CDC" w:rsidR="008C08BA" w:rsidRPr="008C08BA" w:rsidRDefault="005C6094" w:rsidP="008C08BA">
      <w:pPr>
        <w:jc w:val="center"/>
      </w:pPr>
      <w:r>
        <w:t>December 1</w:t>
      </w:r>
      <w:r w:rsidR="008C08BA" w:rsidRPr="008C08BA">
        <w:t>,</w:t>
      </w:r>
      <w:r w:rsidR="008C08BA" w:rsidRPr="008C08BA">
        <w:rPr>
          <w:vertAlign w:val="superscript"/>
        </w:rPr>
        <w:t xml:space="preserve"> </w:t>
      </w:r>
      <w:r w:rsidR="008C08BA" w:rsidRPr="008C08BA">
        <w:t>2022</w:t>
      </w:r>
      <w:r w:rsidR="008C08BA" w:rsidRPr="008C08BA">
        <w:br/>
      </w:r>
    </w:p>
    <w:p w14:paraId="48FB9458" w14:textId="5FC85880" w:rsidR="008C08BA" w:rsidRPr="008C08BA" w:rsidRDefault="008C08BA" w:rsidP="008C08BA">
      <w:pPr>
        <w:pStyle w:val="NoSpacing"/>
        <w:ind w:left="540" w:hanging="540"/>
        <w:rPr>
          <w:rFonts w:ascii="Times New Roman" w:hAnsi="Times New Roman"/>
          <w:sz w:val="24"/>
          <w:szCs w:val="24"/>
        </w:rPr>
      </w:pPr>
      <w:r w:rsidRPr="008C08BA">
        <w:rPr>
          <w:rStyle w:val="normaltextrun"/>
          <w:rFonts w:ascii="Times New Roman" w:eastAsiaTheme="majorEastAsia" w:hAnsi="Times New Roman"/>
          <w:sz w:val="24"/>
          <w:szCs w:val="24"/>
        </w:rPr>
        <w:t xml:space="preserve">To: </w:t>
      </w:r>
      <w:r w:rsidRPr="008C08BA">
        <w:rPr>
          <w:rStyle w:val="normaltextrun"/>
          <w:rFonts w:ascii="Times New Roman" w:eastAsiaTheme="majorEastAsia" w:hAnsi="Times New Roman"/>
          <w:sz w:val="24"/>
          <w:szCs w:val="24"/>
        </w:rPr>
        <w:tab/>
        <w:t xml:space="preserve">The Honorable Glenn </w:t>
      </w:r>
      <w:r w:rsidR="005C6094">
        <w:rPr>
          <w:rStyle w:val="normaltextrun"/>
          <w:rFonts w:ascii="Times New Roman" w:eastAsiaTheme="majorEastAsia" w:hAnsi="Times New Roman"/>
          <w:sz w:val="24"/>
          <w:szCs w:val="24"/>
        </w:rPr>
        <w:t xml:space="preserve">A. </w:t>
      </w:r>
      <w:r w:rsidRPr="008C08BA">
        <w:rPr>
          <w:rStyle w:val="normaltextrun"/>
          <w:rFonts w:ascii="Times New Roman" w:eastAsiaTheme="majorEastAsia" w:hAnsi="Times New Roman"/>
          <w:sz w:val="24"/>
          <w:szCs w:val="24"/>
        </w:rPr>
        <w:t>Youngkin</w:t>
      </w:r>
      <w:r w:rsidR="005C6094">
        <w:rPr>
          <w:rStyle w:val="normaltextrun"/>
          <w:rFonts w:ascii="Times New Roman" w:eastAsiaTheme="majorEastAsia" w:hAnsi="Times New Roman"/>
          <w:sz w:val="24"/>
          <w:szCs w:val="24"/>
        </w:rPr>
        <w:t>, Governor</w:t>
      </w:r>
      <w:r w:rsidRPr="008C08BA">
        <w:rPr>
          <w:rStyle w:val="normaltextrun"/>
          <w:rFonts w:ascii="Times New Roman" w:eastAsiaTheme="majorEastAsia" w:hAnsi="Times New Roman"/>
          <w:sz w:val="24"/>
          <w:szCs w:val="24"/>
        </w:rPr>
        <w:br/>
        <w:t>The Honorable Janet D. Howell, Chair, Senate Finance &amp; Appropriations Committee</w:t>
      </w:r>
      <w:r w:rsidRPr="008C08BA">
        <w:rPr>
          <w:rStyle w:val="eop"/>
          <w:rFonts w:ascii="Times New Roman" w:eastAsiaTheme="majorEastAsia" w:hAnsi="Times New Roman"/>
          <w:sz w:val="24"/>
          <w:szCs w:val="24"/>
        </w:rPr>
        <w:t> </w:t>
      </w:r>
    </w:p>
    <w:p w14:paraId="7676C0C4" w14:textId="77777777" w:rsidR="008C08BA" w:rsidRPr="008C08BA" w:rsidRDefault="008C08BA" w:rsidP="008C08BA">
      <w:pPr>
        <w:pStyle w:val="NoSpacing"/>
        <w:ind w:left="540"/>
        <w:rPr>
          <w:rFonts w:ascii="Times New Roman" w:hAnsi="Times New Roman"/>
          <w:sz w:val="24"/>
          <w:szCs w:val="24"/>
        </w:rPr>
      </w:pPr>
      <w:r w:rsidRPr="008C08BA">
        <w:rPr>
          <w:rStyle w:val="normaltextrun"/>
          <w:rFonts w:ascii="Times New Roman" w:eastAsiaTheme="majorEastAsia" w:hAnsi="Times New Roman"/>
          <w:sz w:val="24"/>
          <w:szCs w:val="24"/>
        </w:rPr>
        <w:t>The Honorable Barry K. Knight, Chair, House Appropriations Committee </w:t>
      </w:r>
      <w:r w:rsidRPr="008C08BA">
        <w:rPr>
          <w:rStyle w:val="eop"/>
          <w:rFonts w:ascii="Times New Roman" w:eastAsiaTheme="majorEastAsia" w:hAnsi="Times New Roman"/>
          <w:sz w:val="24"/>
          <w:szCs w:val="24"/>
        </w:rPr>
        <w:t> </w:t>
      </w:r>
    </w:p>
    <w:p w14:paraId="44CE2660" w14:textId="77777777" w:rsidR="008C08BA" w:rsidRPr="008C08BA" w:rsidRDefault="008C08BA" w:rsidP="008C08BA">
      <w:pPr>
        <w:pStyle w:val="NoSpacing"/>
        <w:ind w:left="540" w:hanging="540"/>
        <w:rPr>
          <w:rStyle w:val="normaltextrun"/>
          <w:rFonts w:ascii="Times New Roman" w:eastAsiaTheme="majorEastAsia" w:hAnsi="Times New Roman"/>
          <w:sz w:val="24"/>
          <w:szCs w:val="24"/>
        </w:rPr>
      </w:pPr>
    </w:p>
    <w:p w14:paraId="33A2FE6D" w14:textId="77777777" w:rsidR="008C08BA" w:rsidRPr="008C08BA" w:rsidRDefault="008C08BA" w:rsidP="008C08BA">
      <w:pPr>
        <w:pStyle w:val="NoSpacing"/>
        <w:ind w:left="540" w:hanging="540"/>
        <w:rPr>
          <w:rStyle w:val="normaltextrun"/>
          <w:rFonts w:ascii="Times New Roman" w:eastAsiaTheme="majorEastAsia" w:hAnsi="Times New Roman"/>
          <w:sz w:val="24"/>
          <w:szCs w:val="24"/>
        </w:rPr>
      </w:pPr>
      <w:r w:rsidRPr="008C08BA">
        <w:rPr>
          <w:rStyle w:val="normaltextrun"/>
          <w:rFonts w:ascii="Times New Roman" w:eastAsiaTheme="majorEastAsia" w:hAnsi="Times New Roman"/>
          <w:sz w:val="24"/>
          <w:szCs w:val="24"/>
        </w:rPr>
        <w:t>Fr:</w:t>
      </w:r>
      <w:r w:rsidRPr="008C08BA">
        <w:rPr>
          <w:rStyle w:val="normaltextrun"/>
          <w:rFonts w:ascii="Times New Roman" w:eastAsiaTheme="majorEastAsia" w:hAnsi="Times New Roman"/>
          <w:sz w:val="24"/>
          <w:szCs w:val="24"/>
        </w:rPr>
        <w:tab/>
        <w:t>Nelson Smith, Commissioner, Department of Behavioral Health and Developmental Services</w:t>
      </w:r>
    </w:p>
    <w:p w14:paraId="61827FE0" w14:textId="341DB25C" w:rsidR="00F60330" w:rsidRPr="008C08BA" w:rsidRDefault="008C08BA" w:rsidP="00F46923">
      <w:r w:rsidRPr="008C08BA">
        <w:br/>
      </w:r>
      <w:r w:rsidR="001F7427" w:rsidRPr="008C08BA">
        <w:t>Item 310.J of the 2021</w:t>
      </w:r>
      <w:r w:rsidR="00F60330" w:rsidRPr="008C08BA">
        <w:t xml:space="preserve"> Appropriation Act requires the Department of Behavioral Health and Developmental Services (DBHDS) to submit an annual report to the Governor and the Chairmen of the House Appropriations and Senate Finance Committees of the General Assembly by December 1 each year for the preceding fiscal year.</w:t>
      </w:r>
    </w:p>
    <w:p w14:paraId="6670ACEF" w14:textId="77777777" w:rsidR="00F60330" w:rsidRPr="008C08BA" w:rsidRDefault="00F60330" w:rsidP="00F46923"/>
    <w:p w14:paraId="0BA730A2" w14:textId="77777777" w:rsidR="00F60330" w:rsidRPr="008C08BA" w:rsidRDefault="00F60330" w:rsidP="00F46923">
      <w:pPr>
        <w:ind w:left="432" w:right="432"/>
        <w:jc w:val="both"/>
        <w:rPr>
          <w:i/>
        </w:rPr>
      </w:pPr>
      <w:r w:rsidRPr="008C08BA">
        <w:rPr>
          <w:i/>
        </w:rPr>
        <w:t>J. The Department of Behavioral Health and Developmental Services shall submit a report to the Governor and the Chairmen of the House Appropriations and Senate Finance Committees no later than December 1 of each year for the preceding fiscal year that provides information on the operation of Virginia's publicly funded behavioral health and developmental services system.  The report shall include a brief narrative and data on the numbers of individuals receiving state facility services or CSB services, including purchased inpatient psychiatric services, the types and amounts of services received by these individuals, and CSB and state facility service capacities, staffing, revenues, and expenditures.  The annual report also shall describe major new initiatives implemented during the past year and shall provide information on the accomplishment of systemic outcome and performance measures during the year.</w:t>
      </w:r>
    </w:p>
    <w:p w14:paraId="2801683B" w14:textId="77777777" w:rsidR="00F60330" w:rsidRPr="008C08BA" w:rsidRDefault="00F60330" w:rsidP="00F46923">
      <w:pPr>
        <w:ind w:right="432"/>
        <w:jc w:val="both"/>
      </w:pPr>
    </w:p>
    <w:p w14:paraId="59086DCF" w14:textId="18D237DF" w:rsidR="00F60330" w:rsidRPr="008C08BA" w:rsidRDefault="00F60330" w:rsidP="00F46923">
      <w:r w:rsidRPr="008C08BA">
        <w:t>Subsection 12 of § 37.2-304 of the Code of Virginia establishes the annual report</w:t>
      </w:r>
      <w:r w:rsidR="00F858B2" w:rsidRPr="008C08BA">
        <w:t xml:space="preserve"> requirement in state statute. </w:t>
      </w:r>
      <w:r w:rsidRPr="008C08BA">
        <w:t>The section lists the duties and powers of the DBHDS commissioner.</w:t>
      </w:r>
    </w:p>
    <w:p w14:paraId="336977E4" w14:textId="77777777" w:rsidR="00F60330" w:rsidRPr="008C08BA" w:rsidRDefault="00F60330" w:rsidP="00F46923"/>
    <w:p w14:paraId="70292990" w14:textId="77777777" w:rsidR="00F60330" w:rsidRPr="008C08BA" w:rsidRDefault="00F60330" w:rsidP="00F46923">
      <w:pPr>
        <w:ind w:left="432" w:right="432"/>
        <w:jc w:val="both"/>
        <w:rPr>
          <w:i/>
        </w:rPr>
      </w:pPr>
      <w:r w:rsidRPr="008C08BA">
        <w:rPr>
          <w:i/>
        </w:rPr>
        <w:t xml:space="preserve">12. To submit a report for the preceding fiscal year by December 1 of each year to the Governor and the Chairmen of the House Appropriations and Senate Finances Committees that provides information on the operation of Virginia's publicly funded behavioral health and developmental services system.  The report shall include a brief narrative and data on the number of individuals receiving state facility services or </w:t>
      </w:r>
      <w:r w:rsidRPr="008C08BA">
        <w:rPr>
          <w:i/>
        </w:rPr>
        <w:lastRenderedPageBreak/>
        <w:t xml:space="preserve">community services board services, including purchased inpatient psychiatric services; the types and amounts of services received by these individuals; and state facility and community services board service capacities, staffing, revenues, and expenditures.  The annual report shall describe major new initiatives implemented during the past year and shall provide information on the accomplishment of systemic outcome and performance measures during the year. </w:t>
      </w:r>
    </w:p>
    <w:p w14:paraId="5C4994AF" w14:textId="77777777" w:rsidR="00916414" w:rsidRPr="008C08BA" w:rsidRDefault="00916414" w:rsidP="00F46923">
      <w:pPr>
        <w:ind w:left="720" w:right="720"/>
        <w:jc w:val="both"/>
        <w:rPr>
          <w:i/>
          <w:iCs/>
        </w:rPr>
      </w:pPr>
    </w:p>
    <w:p w14:paraId="0DD9EB59" w14:textId="6D34F182" w:rsidR="00916414" w:rsidRPr="008C08BA" w:rsidRDefault="00F60330" w:rsidP="00F46923">
      <w:pPr>
        <w:spacing w:after="200"/>
        <w:rPr>
          <w:rFonts w:eastAsia="Calibri"/>
        </w:rPr>
      </w:pPr>
      <w:r w:rsidRPr="008C08BA">
        <w:rPr>
          <w:rFonts w:eastAsia="Calibri"/>
        </w:rPr>
        <w:t xml:space="preserve">In accordance with these </w:t>
      </w:r>
      <w:r w:rsidR="00916414" w:rsidRPr="008C08BA">
        <w:rPr>
          <w:rFonts w:eastAsia="Calibri"/>
        </w:rPr>
        <w:t>requirement</w:t>
      </w:r>
      <w:r w:rsidRPr="008C08BA">
        <w:rPr>
          <w:rFonts w:eastAsia="Calibri"/>
        </w:rPr>
        <w:t>s</w:t>
      </w:r>
      <w:r w:rsidR="00916414" w:rsidRPr="008C08BA">
        <w:rPr>
          <w:rFonts w:eastAsia="Calibri"/>
        </w:rPr>
        <w:t>,</w:t>
      </w:r>
      <w:r w:rsidRPr="008C08BA">
        <w:rPr>
          <w:rFonts w:eastAsia="Calibri"/>
        </w:rPr>
        <w:t xml:space="preserve"> please find enclosed the fiscal year 20</w:t>
      </w:r>
      <w:r w:rsidR="008C08BA" w:rsidRPr="008C08BA">
        <w:rPr>
          <w:rFonts w:eastAsia="Calibri"/>
        </w:rPr>
        <w:t>22</w:t>
      </w:r>
      <w:r w:rsidRPr="008C08BA">
        <w:rPr>
          <w:rFonts w:eastAsia="Calibri"/>
        </w:rPr>
        <w:t xml:space="preserve"> DBHDS annual report</w:t>
      </w:r>
      <w:r w:rsidR="00916414" w:rsidRPr="008C08BA">
        <w:rPr>
          <w:rFonts w:eastAsia="Calibri"/>
        </w:rPr>
        <w:t>. Staff are available should you wish to discuss this request.</w:t>
      </w:r>
    </w:p>
    <w:p w14:paraId="26CE2925" w14:textId="77777777" w:rsidR="00916414" w:rsidRPr="008C08BA" w:rsidRDefault="00916414" w:rsidP="00F46923">
      <w:pPr>
        <w:rPr>
          <w:rFonts w:eastAsia="Calibri"/>
        </w:rPr>
      </w:pPr>
    </w:p>
    <w:p w14:paraId="4E0D2AE3" w14:textId="77777777" w:rsidR="00916414" w:rsidRPr="008C08BA" w:rsidRDefault="00916414" w:rsidP="00F46923">
      <w:pPr>
        <w:rPr>
          <w:rFonts w:eastAsia="Calibri"/>
        </w:rPr>
      </w:pPr>
    </w:p>
    <w:p w14:paraId="6A331403" w14:textId="77777777" w:rsidR="00916414" w:rsidRPr="008C08BA" w:rsidRDefault="00916414" w:rsidP="00F46923">
      <w:pPr>
        <w:rPr>
          <w:rFonts w:eastAsia="Calibri"/>
        </w:rPr>
      </w:pPr>
      <w:r w:rsidRPr="008C08BA">
        <w:rPr>
          <w:rFonts w:eastAsia="Calibri"/>
        </w:rPr>
        <w:t>CC:</w:t>
      </w:r>
    </w:p>
    <w:p w14:paraId="71E8AA0B" w14:textId="4A1D513D" w:rsidR="00916414" w:rsidRPr="008C08BA" w:rsidRDefault="001F61ED" w:rsidP="00F46923">
      <w:pPr>
        <w:rPr>
          <w:rFonts w:eastAsia="Calibri"/>
        </w:rPr>
      </w:pPr>
      <w:r w:rsidRPr="008C08BA">
        <w:rPr>
          <w:rFonts w:eastAsia="Calibri"/>
          <w:bCs/>
        </w:rPr>
        <w:t>The Honorable John Littel</w:t>
      </w:r>
    </w:p>
    <w:p w14:paraId="05D06BE0" w14:textId="77777777" w:rsidR="00916414" w:rsidRPr="008C08BA" w:rsidRDefault="00916414" w:rsidP="00F46923">
      <w:pPr>
        <w:rPr>
          <w:rFonts w:eastAsia="Calibri"/>
        </w:rPr>
      </w:pPr>
      <w:r w:rsidRPr="008C08BA">
        <w:rPr>
          <w:rFonts w:eastAsia="Calibri"/>
        </w:rPr>
        <w:t xml:space="preserve">Susan </w:t>
      </w:r>
      <w:proofErr w:type="spellStart"/>
      <w:r w:rsidRPr="008C08BA">
        <w:rPr>
          <w:rFonts w:eastAsia="Calibri"/>
        </w:rPr>
        <w:t>Massart</w:t>
      </w:r>
      <w:proofErr w:type="spellEnd"/>
    </w:p>
    <w:p w14:paraId="28AA4060" w14:textId="29A201DF" w:rsidR="007970DA" w:rsidRPr="008C08BA" w:rsidRDefault="00F60330" w:rsidP="00F46923">
      <w:pPr>
        <w:rPr>
          <w:rFonts w:eastAsia="Calibri"/>
        </w:rPr>
      </w:pPr>
      <w:r w:rsidRPr="008C08BA">
        <w:rPr>
          <w:rFonts w:eastAsia="Calibri"/>
        </w:rPr>
        <w:t>Mike Tweed</w:t>
      </w:r>
      <w:r w:rsidR="001F61ED" w:rsidRPr="008C08BA">
        <w:rPr>
          <w:rFonts w:eastAsia="Calibri"/>
        </w:rPr>
        <w:t>y</w:t>
      </w:r>
    </w:p>
    <w:p w14:paraId="472E9AA8" w14:textId="61F00648" w:rsidR="004023E5" w:rsidRPr="008C08BA" w:rsidRDefault="004023E5" w:rsidP="00F46923">
      <w:pPr>
        <w:rPr>
          <w:rFonts w:eastAsia="Calibri"/>
        </w:rPr>
      </w:pPr>
    </w:p>
    <w:p w14:paraId="502DDD89" w14:textId="0A98A165" w:rsidR="004023E5" w:rsidRPr="008C08BA" w:rsidRDefault="004023E5" w:rsidP="00F46923">
      <w:pPr>
        <w:rPr>
          <w:rFonts w:eastAsia="Calibri"/>
        </w:rPr>
      </w:pPr>
    </w:p>
    <w:p w14:paraId="1C746441" w14:textId="3836CCCF" w:rsidR="004023E5" w:rsidRPr="008C08BA" w:rsidRDefault="004023E5" w:rsidP="00F46923">
      <w:pPr>
        <w:rPr>
          <w:rFonts w:eastAsia="Calibri"/>
        </w:rPr>
      </w:pPr>
    </w:p>
    <w:p w14:paraId="295BE7B5" w14:textId="45D4E1AC" w:rsidR="004023E5" w:rsidRDefault="004023E5" w:rsidP="00F46923">
      <w:pPr>
        <w:rPr>
          <w:rFonts w:eastAsia="Calibri"/>
          <w:sz w:val="22"/>
          <w:szCs w:val="22"/>
        </w:rPr>
      </w:pPr>
    </w:p>
    <w:p w14:paraId="12E251F0" w14:textId="0F6E1E7C" w:rsidR="004023E5" w:rsidRDefault="004023E5" w:rsidP="00F46923">
      <w:pPr>
        <w:rPr>
          <w:rFonts w:eastAsia="Calibri"/>
          <w:sz w:val="22"/>
          <w:szCs w:val="22"/>
        </w:rPr>
      </w:pPr>
    </w:p>
    <w:p w14:paraId="0E943AAA" w14:textId="679B4766" w:rsidR="004023E5" w:rsidRDefault="004023E5" w:rsidP="00F46923">
      <w:pPr>
        <w:rPr>
          <w:rFonts w:eastAsia="Calibri"/>
          <w:sz w:val="22"/>
          <w:szCs w:val="22"/>
        </w:rPr>
      </w:pPr>
    </w:p>
    <w:p w14:paraId="4B0F045F" w14:textId="1A279511" w:rsidR="004023E5" w:rsidRDefault="004023E5" w:rsidP="00F46923">
      <w:pPr>
        <w:rPr>
          <w:rFonts w:eastAsia="Calibri"/>
          <w:sz w:val="22"/>
          <w:szCs w:val="22"/>
        </w:rPr>
      </w:pPr>
    </w:p>
    <w:p w14:paraId="7B8E7DDF" w14:textId="247FC5E8" w:rsidR="004023E5" w:rsidRDefault="004023E5" w:rsidP="00F46923">
      <w:pPr>
        <w:rPr>
          <w:rFonts w:eastAsia="Calibri"/>
          <w:sz w:val="22"/>
          <w:szCs w:val="22"/>
        </w:rPr>
      </w:pPr>
    </w:p>
    <w:p w14:paraId="54D80C5A" w14:textId="7F5EC5F0" w:rsidR="004023E5" w:rsidRDefault="004023E5" w:rsidP="00F46923">
      <w:pPr>
        <w:rPr>
          <w:rFonts w:eastAsia="Calibri"/>
          <w:sz w:val="22"/>
          <w:szCs w:val="22"/>
        </w:rPr>
      </w:pPr>
    </w:p>
    <w:p w14:paraId="71DC81F1" w14:textId="33720133" w:rsidR="004023E5" w:rsidRDefault="004023E5" w:rsidP="00F46923">
      <w:pPr>
        <w:rPr>
          <w:rFonts w:eastAsia="Calibri"/>
          <w:sz w:val="22"/>
          <w:szCs w:val="22"/>
        </w:rPr>
      </w:pPr>
    </w:p>
    <w:p w14:paraId="37A4C4BD" w14:textId="471C5DE0" w:rsidR="004023E5" w:rsidRDefault="004023E5" w:rsidP="00F46923">
      <w:pPr>
        <w:rPr>
          <w:rFonts w:eastAsia="Calibri"/>
          <w:sz w:val="22"/>
          <w:szCs w:val="22"/>
        </w:rPr>
      </w:pPr>
    </w:p>
    <w:p w14:paraId="264A44B3" w14:textId="0A3A5734" w:rsidR="004023E5" w:rsidRDefault="004023E5" w:rsidP="00F46923">
      <w:pPr>
        <w:rPr>
          <w:rFonts w:eastAsia="Calibri"/>
          <w:sz w:val="22"/>
          <w:szCs w:val="22"/>
        </w:rPr>
      </w:pPr>
    </w:p>
    <w:p w14:paraId="7B302700" w14:textId="0155254A" w:rsidR="004023E5" w:rsidRDefault="004023E5" w:rsidP="00F46923">
      <w:pPr>
        <w:rPr>
          <w:rFonts w:eastAsia="Calibri"/>
          <w:sz w:val="22"/>
          <w:szCs w:val="22"/>
        </w:rPr>
      </w:pPr>
    </w:p>
    <w:p w14:paraId="3A8425C8" w14:textId="7AAA2F56" w:rsidR="004023E5" w:rsidRDefault="004023E5" w:rsidP="00F46923">
      <w:pPr>
        <w:rPr>
          <w:rFonts w:eastAsia="Calibri"/>
          <w:sz w:val="22"/>
          <w:szCs w:val="22"/>
        </w:rPr>
      </w:pPr>
    </w:p>
    <w:p w14:paraId="6DE6FF0F" w14:textId="51D3D65D" w:rsidR="004023E5" w:rsidRDefault="004023E5" w:rsidP="00F46923">
      <w:pPr>
        <w:rPr>
          <w:rFonts w:eastAsia="Calibri"/>
          <w:sz w:val="22"/>
          <w:szCs w:val="22"/>
        </w:rPr>
      </w:pPr>
    </w:p>
    <w:p w14:paraId="46D387A0" w14:textId="3C06D6CC" w:rsidR="004023E5" w:rsidRDefault="004023E5" w:rsidP="00F46923">
      <w:pPr>
        <w:rPr>
          <w:rFonts w:eastAsia="Calibri"/>
          <w:sz w:val="22"/>
          <w:szCs w:val="22"/>
        </w:rPr>
      </w:pPr>
    </w:p>
    <w:p w14:paraId="6D6B297F" w14:textId="4323E1BA" w:rsidR="004023E5" w:rsidRDefault="004023E5" w:rsidP="00F46923">
      <w:pPr>
        <w:rPr>
          <w:rFonts w:eastAsia="Calibri"/>
          <w:sz w:val="22"/>
          <w:szCs w:val="22"/>
        </w:rPr>
      </w:pPr>
    </w:p>
    <w:p w14:paraId="52976852" w14:textId="158A0422" w:rsidR="004023E5" w:rsidRDefault="004023E5" w:rsidP="00F46923">
      <w:pPr>
        <w:rPr>
          <w:rFonts w:eastAsia="Calibri"/>
          <w:sz w:val="22"/>
          <w:szCs w:val="22"/>
        </w:rPr>
      </w:pPr>
    </w:p>
    <w:p w14:paraId="6ACD46DE" w14:textId="6024AD87" w:rsidR="004023E5" w:rsidRDefault="004023E5" w:rsidP="00F46923">
      <w:pPr>
        <w:rPr>
          <w:rFonts w:eastAsia="Calibri"/>
          <w:sz w:val="22"/>
          <w:szCs w:val="22"/>
        </w:rPr>
      </w:pPr>
    </w:p>
    <w:p w14:paraId="7A22100C" w14:textId="07CE8DCE" w:rsidR="004023E5" w:rsidRDefault="004023E5" w:rsidP="00F46923">
      <w:pPr>
        <w:rPr>
          <w:rFonts w:eastAsia="Calibri"/>
          <w:sz w:val="22"/>
          <w:szCs w:val="22"/>
        </w:rPr>
      </w:pPr>
    </w:p>
    <w:p w14:paraId="1A22CB9D" w14:textId="43EA0D38" w:rsidR="004023E5" w:rsidRDefault="004023E5" w:rsidP="00F46923">
      <w:pPr>
        <w:rPr>
          <w:rFonts w:eastAsia="Calibri"/>
          <w:sz w:val="22"/>
          <w:szCs w:val="22"/>
        </w:rPr>
      </w:pPr>
    </w:p>
    <w:p w14:paraId="0509E641" w14:textId="67D2F4F9" w:rsidR="004023E5" w:rsidRDefault="004023E5" w:rsidP="00F46923">
      <w:pPr>
        <w:rPr>
          <w:rFonts w:eastAsia="Calibri"/>
          <w:sz w:val="22"/>
          <w:szCs w:val="22"/>
        </w:rPr>
      </w:pPr>
    </w:p>
    <w:p w14:paraId="230CD87D" w14:textId="3ED9F9B1" w:rsidR="004023E5" w:rsidRDefault="004023E5" w:rsidP="00F46923">
      <w:pPr>
        <w:rPr>
          <w:rFonts w:eastAsia="Calibri"/>
          <w:sz w:val="22"/>
          <w:szCs w:val="22"/>
        </w:rPr>
      </w:pPr>
    </w:p>
    <w:p w14:paraId="4B4CE3AD" w14:textId="5FC73EA9" w:rsidR="004023E5" w:rsidRDefault="004023E5" w:rsidP="00F46923">
      <w:pPr>
        <w:rPr>
          <w:rFonts w:eastAsia="Calibri"/>
          <w:sz w:val="22"/>
          <w:szCs w:val="22"/>
        </w:rPr>
      </w:pPr>
    </w:p>
    <w:p w14:paraId="79BBB8ED" w14:textId="31B24CA4" w:rsidR="004023E5" w:rsidRDefault="004023E5" w:rsidP="00F46923">
      <w:pPr>
        <w:rPr>
          <w:rFonts w:eastAsia="Calibri"/>
          <w:sz w:val="22"/>
          <w:szCs w:val="22"/>
        </w:rPr>
      </w:pPr>
    </w:p>
    <w:p w14:paraId="203302D3" w14:textId="60002AEC" w:rsidR="004023E5" w:rsidRDefault="004023E5" w:rsidP="00F46923">
      <w:pPr>
        <w:rPr>
          <w:rFonts w:eastAsia="Calibri"/>
          <w:sz w:val="22"/>
          <w:szCs w:val="22"/>
        </w:rPr>
      </w:pPr>
    </w:p>
    <w:p w14:paraId="017B8A83" w14:textId="7B7D70D8" w:rsidR="004023E5" w:rsidRDefault="004023E5" w:rsidP="00F46923">
      <w:pPr>
        <w:rPr>
          <w:rFonts w:eastAsia="Calibri"/>
          <w:sz w:val="22"/>
          <w:szCs w:val="22"/>
        </w:rPr>
      </w:pPr>
    </w:p>
    <w:p w14:paraId="165F0396" w14:textId="56194CE9" w:rsidR="004023E5" w:rsidRDefault="004023E5" w:rsidP="00F46923">
      <w:pPr>
        <w:rPr>
          <w:rFonts w:eastAsia="Calibri"/>
          <w:sz w:val="22"/>
          <w:szCs w:val="22"/>
        </w:rPr>
      </w:pPr>
    </w:p>
    <w:p w14:paraId="23A8620F" w14:textId="77777777" w:rsidR="004023E5" w:rsidRDefault="004023E5" w:rsidP="00F46923">
      <w:pPr>
        <w:rPr>
          <w:b/>
        </w:rPr>
      </w:pPr>
    </w:p>
    <w:p w14:paraId="26746AA8" w14:textId="77777777" w:rsidR="005E46D7" w:rsidRPr="00667F73" w:rsidRDefault="001506C6" w:rsidP="00F46923">
      <w:pPr>
        <w:ind w:left="360"/>
        <w:jc w:val="center"/>
        <w:rPr>
          <w:b/>
        </w:rPr>
      </w:pPr>
      <w:r>
        <w:rPr>
          <w:rFonts w:ascii="Gill Sans MT" w:hAnsi="Gill Sans MT" w:cs="Arial"/>
          <w:b/>
          <w:noProof/>
          <w:sz w:val="36"/>
          <w:szCs w:val="36"/>
        </w:rPr>
        <w:lastRenderedPageBreak/>
        <w:drawing>
          <wp:inline distT="0" distB="0" distL="0" distR="0" wp14:anchorId="64396D2E" wp14:editId="5E8E6FE4">
            <wp:extent cx="5707380" cy="1987826"/>
            <wp:effectExtent l="0" t="0" r="7620" b="0"/>
            <wp:docPr id="7" name="Picture 7" descr="C:\Users\wtg77908\Pictures\DBHDS_Logo-Cr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tg77908\Pictures\DBHDS_Logo-Crop2.jpg"/>
                    <pic:cNvPicPr>
                      <a:picLocks noChangeAspect="1" noChangeArrowheads="1"/>
                    </pic:cNvPicPr>
                  </pic:nvPicPr>
                  <pic:blipFill>
                    <a:blip r:embed="rId9" cstate="print"/>
                    <a:stretch>
                      <a:fillRect/>
                    </a:stretch>
                  </pic:blipFill>
                  <pic:spPr bwMode="auto">
                    <a:xfrm>
                      <a:off x="0" y="0"/>
                      <a:ext cx="5715159" cy="1990535"/>
                    </a:xfrm>
                    <a:prstGeom prst="rect">
                      <a:avLst/>
                    </a:prstGeom>
                    <a:noFill/>
                    <a:ln>
                      <a:noFill/>
                    </a:ln>
                  </pic:spPr>
                </pic:pic>
              </a:graphicData>
            </a:graphic>
          </wp:inline>
        </w:drawing>
      </w:r>
    </w:p>
    <w:p w14:paraId="5B2C8952" w14:textId="77777777" w:rsidR="000A3B2B" w:rsidRPr="00667F73" w:rsidRDefault="000A3B2B" w:rsidP="00F46923">
      <w:pPr>
        <w:ind w:left="360"/>
        <w:jc w:val="center"/>
        <w:rPr>
          <w:b/>
        </w:rPr>
      </w:pPr>
    </w:p>
    <w:p w14:paraId="569CE3E8" w14:textId="77777777" w:rsidR="007970DA" w:rsidRDefault="007970DA" w:rsidP="00F46923">
      <w:pPr>
        <w:ind w:left="360"/>
        <w:jc w:val="center"/>
        <w:rPr>
          <w:b/>
        </w:rPr>
      </w:pPr>
    </w:p>
    <w:p w14:paraId="5BE0224E" w14:textId="77777777" w:rsidR="007970DA" w:rsidRDefault="007970DA" w:rsidP="00F46923">
      <w:pPr>
        <w:ind w:left="360"/>
        <w:jc w:val="center"/>
        <w:rPr>
          <w:b/>
        </w:rPr>
      </w:pPr>
    </w:p>
    <w:p w14:paraId="4091012C" w14:textId="77777777" w:rsidR="00667F73" w:rsidRPr="00667F73" w:rsidRDefault="00667F73" w:rsidP="00F46923">
      <w:pPr>
        <w:ind w:left="360"/>
        <w:jc w:val="center"/>
        <w:rPr>
          <w:b/>
        </w:rPr>
      </w:pPr>
    </w:p>
    <w:p w14:paraId="15E6D1F9" w14:textId="584F69D8" w:rsidR="005D3CEC" w:rsidRPr="00667F73" w:rsidRDefault="005D3CEC" w:rsidP="00F46923">
      <w:pPr>
        <w:jc w:val="center"/>
        <w:rPr>
          <w:b/>
          <w:sz w:val="90"/>
          <w:szCs w:val="90"/>
        </w:rPr>
      </w:pPr>
      <w:r w:rsidRPr="00667F73">
        <w:rPr>
          <w:b/>
          <w:sz w:val="90"/>
          <w:szCs w:val="90"/>
        </w:rPr>
        <w:t>Fiscal Year 20</w:t>
      </w:r>
      <w:r w:rsidR="00596F29">
        <w:rPr>
          <w:b/>
          <w:sz w:val="90"/>
          <w:szCs w:val="90"/>
        </w:rPr>
        <w:t>2</w:t>
      </w:r>
      <w:r w:rsidR="004023E5">
        <w:rPr>
          <w:b/>
          <w:sz w:val="90"/>
          <w:szCs w:val="90"/>
        </w:rPr>
        <w:t>2</w:t>
      </w:r>
      <w:r w:rsidRPr="00667F73">
        <w:rPr>
          <w:b/>
          <w:sz w:val="90"/>
          <w:szCs w:val="90"/>
        </w:rPr>
        <w:t xml:space="preserve"> Annual Report </w:t>
      </w:r>
    </w:p>
    <w:p w14:paraId="531200E4" w14:textId="77777777" w:rsidR="005D3CEC" w:rsidRPr="00246855" w:rsidRDefault="005D3CEC" w:rsidP="00F46923">
      <w:pPr>
        <w:jc w:val="center"/>
        <w:rPr>
          <w:rFonts w:ascii="Arial" w:hAnsi="Arial" w:cs="Arial"/>
          <w:b/>
          <w:sz w:val="32"/>
          <w:szCs w:val="32"/>
        </w:rPr>
      </w:pPr>
      <w:r w:rsidRPr="00FF6639">
        <w:rPr>
          <w:b/>
          <w:sz w:val="56"/>
          <w:szCs w:val="56"/>
        </w:rPr>
        <w:t xml:space="preserve">(Item </w:t>
      </w:r>
      <w:r w:rsidRPr="005C6094">
        <w:rPr>
          <w:b/>
          <w:sz w:val="56"/>
          <w:szCs w:val="56"/>
        </w:rPr>
        <w:t>310.J</w:t>
      </w:r>
      <w:r w:rsidRPr="00FF6639">
        <w:rPr>
          <w:b/>
          <w:sz w:val="44"/>
          <w:szCs w:val="44"/>
        </w:rPr>
        <w:t>)</w:t>
      </w:r>
    </w:p>
    <w:p w14:paraId="74B916F2" w14:textId="77777777" w:rsidR="005D3CEC" w:rsidRPr="00667F73" w:rsidRDefault="005D3CEC" w:rsidP="00F46923">
      <w:pPr>
        <w:jc w:val="center"/>
      </w:pPr>
    </w:p>
    <w:p w14:paraId="7BB2463C" w14:textId="77777777" w:rsidR="005D3CEC" w:rsidRPr="00667F73" w:rsidRDefault="005D3CEC" w:rsidP="00F46923">
      <w:pPr>
        <w:jc w:val="center"/>
      </w:pPr>
    </w:p>
    <w:p w14:paraId="013D639D" w14:textId="77777777" w:rsidR="005D3CEC" w:rsidRPr="00667F73" w:rsidRDefault="005D3CEC" w:rsidP="00F46923">
      <w:pPr>
        <w:jc w:val="center"/>
      </w:pPr>
    </w:p>
    <w:p w14:paraId="2B231C3C" w14:textId="69595634" w:rsidR="005D3CEC" w:rsidRDefault="005D3CEC" w:rsidP="00F46923">
      <w:pPr>
        <w:jc w:val="center"/>
        <w:rPr>
          <w:b/>
          <w:sz w:val="32"/>
          <w:szCs w:val="32"/>
        </w:rPr>
      </w:pPr>
      <w:r w:rsidRPr="00246855">
        <w:rPr>
          <w:b/>
          <w:sz w:val="32"/>
          <w:szCs w:val="32"/>
        </w:rPr>
        <w:t>December 1, 20</w:t>
      </w:r>
      <w:r w:rsidR="00C05106">
        <w:rPr>
          <w:b/>
          <w:sz w:val="32"/>
          <w:szCs w:val="32"/>
        </w:rPr>
        <w:t>2</w:t>
      </w:r>
      <w:r w:rsidR="004023E5">
        <w:rPr>
          <w:b/>
          <w:sz w:val="32"/>
          <w:szCs w:val="32"/>
        </w:rPr>
        <w:t>2</w:t>
      </w:r>
    </w:p>
    <w:p w14:paraId="7CFEE4FD" w14:textId="77777777" w:rsidR="00667F73" w:rsidRPr="00014B8D" w:rsidRDefault="00667F73" w:rsidP="00F46923">
      <w:pPr>
        <w:jc w:val="center"/>
        <w:rPr>
          <w:b/>
        </w:rPr>
      </w:pPr>
    </w:p>
    <w:p w14:paraId="59A3B648" w14:textId="77777777" w:rsidR="00667F73" w:rsidRDefault="00667F73" w:rsidP="00F46923">
      <w:pPr>
        <w:jc w:val="center"/>
        <w:rPr>
          <w:b/>
        </w:rPr>
      </w:pPr>
    </w:p>
    <w:p w14:paraId="7894CDD5" w14:textId="77777777" w:rsidR="00014B8D" w:rsidRDefault="00014B8D" w:rsidP="00F46923">
      <w:pPr>
        <w:jc w:val="center"/>
        <w:rPr>
          <w:b/>
        </w:rPr>
      </w:pPr>
    </w:p>
    <w:p w14:paraId="7FA950DF" w14:textId="77777777" w:rsidR="00FB5B09" w:rsidRDefault="00FB5B09" w:rsidP="00F46923">
      <w:pPr>
        <w:jc w:val="center"/>
        <w:rPr>
          <w:b/>
        </w:rPr>
      </w:pPr>
    </w:p>
    <w:p w14:paraId="1D907BD1" w14:textId="77777777" w:rsidR="00FB5B09" w:rsidRDefault="00FB5B09" w:rsidP="00F46923">
      <w:pPr>
        <w:jc w:val="center"/>
        <w:rPr>
          <w:b/>
        </w:rPr>
      </w:pPr>
    </w:p>
    <w:p w14:paraId="4AEABDB1" w14:textId="77777777" w:rsidR="00FB5B09" w:rsidRDefault="00FB5B09" w:rsidP="00F46923">
      <w:pPr>
        <w:jc w:val="center"/>
        <w:rPr>
          <w:b/>
        </w:rPr>
      </w:pPr>
    </w:p>
    <w:p w14:paraId="2A7C150E" w14:textId="77777777" w:rsidR="00FB5B09" w:rsidRDefault="00FB5B09" w:rsidP="00F46923">
      <w:pPr>
        <w:jc w:val="center"/>
        <w:rPr>
          <w:b/>
        </w:rPr>
      </w:pPr>
    </w:p>
    <w:p w14:paraId="7540872F" w14:textId="77777777" w:rsidR="00A2227D" w:rsidRDefault="00A2227D" w:rsidP="00F46923">
      <w:pPr>
        <w:jc w:val="center"/>
        <w:rPr>
          <w:b/>
          <w:i/>
          <w:sz w:val="30"/>
          <w:szCs w:val="30"/>
        </w:rPr>
      </w:pPr>
    </w:p>
    <w:p w14:paraId="478F12C1" w14:textId="77777777" w:rsidR="00667F73" w:rsidRPr="00667F73" w:rsidRDefault="00667F73" w:rsidP="00F46923">
      <w:pPr>
        <w:jc w:val="center"/>
        <w:rPr>
          <w:b/>
          <w:i/>
          <w:sz w:val="30"/>
          <w:szCs w:val="30"/>
        </w:rPr>
        <w:sectPr w:rsidR="00667F73" w:rsidRPr="00667F73" w:rsidSect="00FB5B0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r w:rsidRPr="00667F73">
        <w:rPr>
          <w:b/>
          <w:i/>
          <w:sz w:val="30"/>
          <w:szCs w:val="30"/>
        </w:rPr>
        <w:t>DBHDS Vision: A Life of Possibilities for All Virginians</w:t>
      </w:r>
    </w:p>
    <w:p w14:paraId="56CF598B" w14:textId="77777777" w:rsidR="00A2227D" w:rsidRDefault="00A2227D" w:rsidP="00F46923">
      <w:pPr>
        <w:jc w:val="center"/>
        <w:rPr>
          <w:b/>
        </w:rPr>
      </w:pPr>
    </w:p>
    <w:p w14:paraId="6BAB04C2" w14:textId="77777777" w:rsidR="00A2227D" w:rsidRPr="00A2227D" w:rsidRDefault="00A2227D" w:rsidP="00F46923">
      <w:pPr>
        <w:jc w:val="center"/>
        <w:rPr>
          <w:b/>
        </w:rPr>
      </w:pPr>
    </w:p>
    <w:p w14:paraId="1AE26976" w14:textId="77777777" w:rsidR="001B3A65" w:rsidRDefault="001B3A65" w:rsidP="00F46923">
      <w:pPr>
        <w:jc w:val="center"/>
        <w:rPr>
          <w:b/>
          <w:sz w:val="36"/>
          <w:szCs w:val="36"/>
        </w:rPr>
      </w:pPr>
      <w:r>
        <w:rPr>
          <w:b/>
          <w:sz w:val="36"/>
          <w:szCs w:val="36"/>
        </w:rPr>
        <w:t>Preface</w:t>
      </w:r>
    </w:p>
    <w:p w14:paraId="7AF48564" w14:textId="77777777" w:rsidR="001B3A65" w:rsidRPr="001B3A65" w:rsidRDefault="001B3A65" w:rsidP="00F46923">
      <w:pPr>
        <w:rPr>
          <w:b/>
        </w:rPr>
      </w:pPr>
    </w:p>
    <w:p w14:paraId="11AE5002" w14:textId="188E89F1" w:rsidR="002C7DFB" w:rsidRPr="005C6094" w:rsidRDefault="002C7DFB" w:rsidP="00F46923">
      <w:r w:rsidRPr="005C6094">
        <w:t>Item 31</w:t>
      </w:r>
      <w:r w:rsidR="00C70EE4" w:rsidRPr="005C6094">
        <w:t>0</w:t>
      </w:r>
      <w:r w:rsidRPr="005C6094">
        <w:t>.J</w:t>
      </w:r>
      <w:r w:rsidR="00C05106" w:rsidRPr="005C6094">
        <w:t xml:space="preserve"> of the 202</w:t>
      </w:r>
      <w:r w:rsidR="004023E5" w:rsidRPr="005C6094">
        <w:t>2</w:t>
      </w:r>
      <w:r w:rsidR="00200B46" w:rsidRPr="005C6094">
        <w:t xml:space="preserve"> </w:t>
      </w:r>
      <w:r w:rsidRPr="005C6094">
        <w:t xml:space="preserve">Appropriation Act requires the Department </w:t>
      </w:r>
      <w:r w:rsidR="00D519DD" w:rsidRPr="005C6094">
        <w:t xml:space="preserve">of Behavioral Health and Developmental Services </w:t>
      </w:r>
      <w:r w:rsidRPr="005C6094">
        <w:t xml:space="preserve">(DBHDS) to submit an annual report to the Governor and the </w:t>
      </w:r>
      <w:r w:rsidR="00FD4231" w:rsidRPr="005C6094">
        <w:t xml:space="preserve">Chairmen of the House Appropriations and Senate Finance Committees of the </w:t>
      </w:r>
      <w:r w:rsidRPr="005C6094">
        <w:t>General Assembly by December 1 each year</w:t>
      </w:r>
      <w:r w:rsidR="00C70EE4" w:rsidRPr="005C6094">
        <w:t xml:space="preserve"> for the preceding fiscal year</w:t>
      </w:r>
      <w:r w:rsidRPr="005C6094">
        <w:t>.</w:t>
      </w:r>
    </w:p>
    <w:p w14:paraId="674007CF" w14:textId="77777777" w:rsidR="002C7DFB" w:rsidRPr="005C6094" w:rsidRDefault="002C7DFB" w:rsidP="00F46923"/>
    <w:p w14:paraId="1E787B0D" w14:textId="529E9320" w:rsidR="002C7DFB" w:rsidRDefault="002C7DFB" w:rsidP="00F46923">
      <w:pPr>
        <w:ind w:left="432" w:right="432"/>
        <w:jc w:val="both"/>
        <w:rPr>
          <w:i/>
        </w:rPr>
      </w:pPr>
      <w:r w:rsidRPr="005C6094">
        <w:rPr>
          <w:i/>
        </w:rPr>
        <w:t>The Department of Behavioral Health and Developmental Services shall submit a report</w:t>
      </w:r>
      <w:r w:rsidRPr="002C7DFB">
        <w:rPr>
          <w:i/>
        </w:rPr>
        <w:t xml:space="preserve"> to the Governor and the Chairmen of the House Appropriations and Senate Finance Committees no later than December 1 of each year for the preceding fiscal year that </w:t>
      </w:r>
      <w:r w:rsidRPr="007F45A5">
        <w:rPr>
          <w:i/>
        </w:rPr>
        <w:t>provides information on the operation of Virginia's publicly funded behavioral health and developmental services system.  The report shall include a brief narrative and data on the numbers of individuals receiving state facility services or CSB services, including purchased inpatient psychiatric services, the types and amounts of services received by these individuals, and CSB and state facility service capacities, staffing, revenues, and expenditures.  The annual report also shall describe major new initiatives implemented during the past year and shall provide information on the accomplishment of systemic outcome and</w:t>
      </w:r>
      <w:r w:rsidRPr="002C7DFB">
        <w:rPr>
          <w:i/>
        </w:rPr>
        <w:t xml:space="preserve"> performance measures during the year.</w:t>
      </w:r>
    </w:p>
    <w:p w14:paraId="0F1555F3" w14:textId="77777777" w:rsidR="001B6490" w:rsidRDefault="001B6490" w:rsidP="00F46923">
      <w:pPr>
        <w:ind w:right="432"/>
        <w:jc w:val="both"/>
      </w:pPr>
    </w:p>
    <w:p w14:paraId="408F15E8" w14:textId="77777777" w:rsidR="001B6490" w:rsidRPr="001B6490" w:rsidRDefault="00200B46" w:rsidP="00F46923">
      <w:r>
        <w:t>Subsection</w:t>
      </w:r>
      <w:r w:rsidR="001B6490" w:rsidRPr="001B6490">
        <w:t xml:space="preserve"> </w:t>
      </w:r>
      <w:r>
        <w:t xml:space="preserve">12 of § </w:t>
      </w:r>
      <w:r w:rsidR="001B6490" w:rsidRPr="001B6490">
        <w:t xml:space="preserve">37.2-304 </w:t>
      </w:r>
      <w:r w:rsidR="00D519DD">
        <w:t xml:space="preserve">of the Code of Virginia </w:t>
      </w:r>
      <w:r>
        <w:t>establishes</w:t>
      </w:r>
      <w:r w:rsidR="001B6490" w:rsidRPr="001B6490">
        <w:t xml:space="preserve"> the </w:t>
      </w:r>
      <w:r w:rsidR="001B6490">
        <w:t>annual report</w:t>
      </w:r>
      <w:r w:rsidR="001B6490" w:rsidRPr="001B6490">
        <w:t xml:space="preserve"> requirement in </w:t>
      </w:r>
      <w:r w:rsidR="00D519DD">
        <w:t>state statute</w:t>
      </w:r>
      <w:r w:rsidR="001B6490" w:rsidRPr="001B6490">
        <w:t>.</w:t>
      </w:r>
      <w:r w:rsidR="00D519DD" w:rsidRPr="00D519DD">
        <w:t xml:space="preserve"> </w:t>
      </w:r>
      <w:r w:rsidR="00D519DD">
        <w:t xml:space="preserve"> Th</w:t>
      </w:r>
      <w:r w:rsidR="007970DA">
        <w:t>e</w:t>
      </w:r>
      <w:r w:rsidR="00D519DD">
        <w:t xml:space="preserve"> section lists the duties and powers of the DBHDS commissioner.</w:t>
      </w:r>
    </w:p>
    <w:p w14:paraId="4C483BD3" w14:textId="77777777" w:rsidR="001B6490" w:rsidRPr="001B6490" w:rsidRDefault="001B6490" w:rsidP="00F46923"/>
    <w:p w14:paraId="0A2BDFA1" w14:textId="3476290A" w:rsidR="001B6490" w:rsidRPr="001B6490" w:rsidRDefault="001B6490" w:rsidP="00F46923">
      <w:pPr>
        <w:ind w:left="432" w:right="432"/>
        <w:jc w:val="both"/>
        <w:rPr>
          <w:i/>
        </w:rPr>
      </w:pPr>
      <w:r w:rsidRPr="001B6490">
        <w:rPr>
          <w:i/>
        </w:rPr>
        <w:t>To submit a report for the preceding fiscal year by December 1 of each year to the Governor and the Chairmen of the House Appropriations and Senate Finances Committees that provides information on the operation of Virginia</w:t>
      </w:r>
      <w:r w:rsidR="004023E5">
        <w:rPr>
          <w:i/>
        </w:rPr>
        <w:t>’</w:t>
      </w:r>
      <w:r w:rsidRPr="001B6490">
        <w:rPr>
          <w:i/>
        </w:rPr>
        <w:t xml:space="preserve">s publicly funded behavioral health and developmental services system. </w:t>
      </w:r>
      <w:r w:rsidR="00200B46">
        <w:rPr>
          <w:i/>
        </w:rPr>
        <w:t xml:space="preserve"> </w:t>
      </w:r>
      <w:r w:rsidRPr="001B6490">
        <w:rPr>
          <w:i/>
        </w:rPr>
        <w:t xml:space="preserve">The report shall include a brief narrative and data on the number of individuals receiving state facility services or community services board services, including purchased inpatient psychiatric services; the types and amounts of services received by these individuals; and state facility and community services board service capacities, staffing, revenues, and expenditures. </w:t>
      </w:r>
      <w:r w:rsidR="00200B46">
        <w:rPr>
          <w:i/>
        </w:rPr>
        <w:t xml:space="preserve"> </w:t>
      </w:r>
      <w:r w:rsidRPr="001B6490">
        <w:rPr>
          <w:i/>
        </w:rPr>
        <w:t xml:space="preserve">The annual report shall describe major new initiatives implemented during the past year and shall provide information on the accomplishment of systemic outcome and performance measures during the year. </w:t>
      </w:r>
    </w:p>
    <w:p w14:paraId="502ECC06" w14:textId="77777777" w:rsidR="001B3A65" w:rsidRDefault="001B3A65" w:rsidP="00F46923">
      <w:pPr>
        <w:rPr>
          <w:b/>
          <w:sz w:val="36"/>
          <w:szCs w:val="36"/>
        </w:rPr>
        <w:sectPr w:rsidR="001B3A65" w:rsidSect="00667F73">
          <w:headerReference w:type="default" r:id="rId16"/>
          <w:footerReference w:type="default" r:id="rId17"/>
          <w:pgSz w:w="12240" w:h="15840" w:code="1"/>
          <w:pgMar w:top="1440" w:right="1440" w:bottom="1440" w:left="1440" w:header="720" w:footer="720" w:gutter="0"/>
          <w:pgNumType w:start="1"/>
          <w:cols w:space="720"/>
          <w:docGrid w:linePitch="360"/>
        </w:sectPr>
      </w:pPr>
    </w:p>
    <w:tbl>
      <w:tblPr>
        <w:tblW w:w="9360" w:type="dxa"/>
        <w:jc w:val="center"/>
        <w:tblBorders>
          <w:insideV w:val="single" w:sz="4" w:space="0" w:color="auto"/>
        </w:tblBorders>
        <w:tblCellMar>
          <w:left w:w="0" w:type="dxa"/>
          <w:right w:w="0" w:type="dxa"/>
        </w:tblCellMar>
        <w:tblLook w:val="00A0" w:firstRow="1" w:lastRow="0" w:firstColumn="1" w:lastColumn="0" w:noHBand="0" w:noVBand="0"/>
      </w:tblPr>
      <w:tblGrid>
        <w:gridCol w:w="9360"/>
      </w:tblGrid>
      <w:tr w:rsidR="007C79F9" w14:paraId="30704BC6" w14:textId="77777777" w:rsidTr="00FB5B09">
        <w:trPr>
          <w:jc w:val="center"/>
        </w:trPr>
        <w:tc>
          <w:tcPr>
            <w:tcW w:w="9360" w:type="dxa"/>
            <w:tcBorders>
              <w:right w:val="nil"/>
            </w:tcBorders>
          </w:tcPr>
          <w:p w14:paraId="2E55E649" w14:textId="77777777" w:rsidR="007C79F9" w:rsidRPr="007C79F9" w:rsidRDefault="007C79F9" w:rsidP="00F46923">
            <w:pPr>
              <w:jc w:val="center"/>
              <w:rPr>
                <w:b/>
              </w:rPr>
            </w:pPr>
          </w:p>
        </w:tc>
      </w:tr>
      <w:tr w:rsidR="00AC48C7" w14:paraId="30522D1B" w14:textId="77777777" w:rsidTr="00FB5B09">
        <w:trPr>
          <w:jc w:val="center"/>
        </w:trPr>
        <w:tc>
          <w:tcPr>
            <w:tcW w:w="9360" w:type="dxa"/>
            <w:tcBorders>
              <w:right w:val="nil"/>
            </w:tcBorders>
          </w:tcPr>
          <w:p w14:paraId="5F17A8D2" w14:textId="77777777" w:rsidR="00AC48C7" w:rsidRPr="007E36B5" w:rsidRDefault="00AC48C7" w:rsidP="00F46923">
            <w:pPr>
              <w:jc w:val="center"/>
              <w:rPr>
                <w:b/>
                <w:sz w:val="36"/>
                <w:szCs w:val="36"/>
              </w:rPr>
            </w:pPr>
            <w:r w:rsidRPr="007E36B5">
              <w:rPr>
                <w:b/>
                <w:sz w:val="36"/>
                <w:szCs w:val="36"/>
              </w:rPr>
              <w:t>Table of Contents</w:t>
            </w:r>
          </w:p>
          <w:p w14:paraId="29B45B7A" w14:textId="77777777" w:rsidR="00F04D27" w:rsidRPr="007E36B5" w:rsidRDefault="00F04D27" w:rsidP="00F46923">
            <w:pPr>
              <w:jc w:val="center"/>
              <w:rPr>
                <w:b/>
                <w:sz w:val="36"/>
                <w:szCs w:val="36"/>
              </w:rPr>
            </w:pPr>
          </w:p>
          <w:p w14:paraId="5F8C1FD0" w14:textId="282ED066" w:rsidR="005D3CEC" w:rsidRPr="007E36B5" w:rsidRDefault="005D3CEC" w:rsidP="00F46923">
            <w:pPr>
              <w:tabs>
                <w:tab w:val="right" w:leader="dot" w:pos="8730"/>
                <w:tab w:val="left" w:pos="8820"/>
              </w:tabs>
              <w:rPr>
                <w:sz w:val="26"/>
                <w:szCs w:val="26"/>
              </w:rPr>
            </w:pPr>
            <w:r w:rsidRPr="007E36B5">
              <w:rPr>
                <w:sz w:val="26"/>
                <w:szCs w:val="26"/>
              </w:rPr>
              <w:t>Executive Summary</w:t>
            </w:r>
            <w:r w:rsidR="00AF2BB7" w:rsidRPr="007E36B5">
              <w:rPr>
                <w:sz w:val="26"/>
                <w:szCs w:val="26"/>
              </w:rPr>
              <w:t xml:space="preserve"> </w:t>
            </w:r>
            <w:r w:rsidR="00AF2BB7" w:rsidRPr="007E36B5">
              <w:rPr>
                <w:sz w:val="26"/>
                <w:szCs w:val="26"/>
              </w:rPr>
              <w:tab/>
            </w:r>
            <w:r w:rsidR="00AF2BB7" w:rsidRPr="007E36B5">
              <w:rPr>
                <w:sz w:val="26"/>
                <w:szCs w:val="26"/>
              </w:rPr>
              <w:tab/>
            </w:r>
            <w:r w:rsidR="00E316B7" w:rsidRPr="007E36B5">
              <w:rPr>
                <w:sz w:val="26"/>
                <w:szCs w:val="26"/>
              </w:rPr>
              <w:t>2</w:t>
            </w:r>
          </w:p>
          <w:p w14:paraId="1DAD69E6" w14:textId="77777777" w:rsidR="005D3CEC" w:rsidRPr="007E36B5" w:rsidRDefault="005D3CEC" w:rsidP="00F46923">
            <w:pPr>
              <w:tabs>
                <w:tab w:val="right" w:leader="dot" w:pos="8730"/>
                <w:tab w:val="left" w:pos="8820"/>
              </w:tabs>
              <w:rPr>
                <w:sz w:val="26"/>
                <w:szCs w:val="26"/>
                <w:highlight w:val="yellow"/>
              </w:rPr>
            </w:pPr>
          </w:p>
          <w:p w14:paraId="20C44F49" w14:textId="6FBFFD4A" w:rsidR="005D3CEC" w:rsidRPr="007E36B5" w:rsidRDefault="005D3CEC" w:rsidP="00F46923">
            <w:pPr>
              <w:tabs>
                <w:tab w:val="right" w:leader="dot" w:pos="8730"/>
                <w:tab w:val="left" w:pos="8820"/>
              </w:tabs>
              <w:rPr>
                <w:sz w:val="26"/>
                <w:szCs w:val="26"/>
                <w:highlight w:val="yellow"/>
              </w:rPr>
            </w:pPr>
            <w:r w:rsidRPr="007E36B5">
              <w:rPr>
                <w:sz w:val="26"/>
                <w:szCs w:val="26"/>
              </w:rPr>
              <w:t>Individuals Wh</w:t>
            </w:r>
            <w:r w:rsidR="00AF2BB7" w:rsidRPr="007E36B5">
              <w:rPr>
                <w:sz w:val="26"/>
                <w:szCs w:val="26"/>
              </w:rPr>
              <w:t>o Received CSB or State Hospital and Center</w:t>
            </w:r>
            <w:r w:rsidRPr="007E36B5">
              <w:rPr>
                <w:sz w:val="26"/>
                <w:szCs w:val="26"/>
              </w:rPr>
              <w:t xml:space="preserve"> Services</w:t>
            </w:r>
            <w:r w:rsidRPr="007E36B5">
              <w:rPr>
                <w:sz w:val="26"/>
                <w:szCs w:val="26"/>
              </w:rPr>
              <w:tab/>
            </w:r>
            <w:r w:rsidRPr="007E36B5">
              <w:rPr>
                <w:sz w:val="26"/>
                <w:szCs w:val="26"/>
              </w:rPr>
              <w:tab/>
            </w:r>
            <w:r w:rsidR="007E36B5">
              <w:rPr>
                <w:sz w:val="26"/>
                <w:szCs w:val="26"/>
              </w:rPr>
              <w:t>3</w:t>
            </w:r>
          </w:p>
          <w:p w14:paraId="262255E0" w14:textId="77777777" w:rsidR="005D3CEC" w:rsidRPr="004023E5" w:rsidRDefault="005D3CEC" w:rsidP="00F46923">
            <w:pPr>
              <w:tabs>
                <w:tab w:val="right" w:leader="dot" w:pos="8730"/>
                <w:tab w:val="left" w:pos="8820"/>
              </w:tabs>
              <w:rPr>
                <w:color w:val="FF0000"/>
                <w:sz w:val="26"/>
                <w:szCs w:val="26"/>
                <w:highlight w:val="yellow"/>
              </w:rPr>
            </w:pPr>
          </w:p>
          <w:p w14:paraId="0E452840" w14:textId="454557CA" w:rsidR="005D3CEC" w:rsidRPr="007E36B5" w:rsidRDefault="005D3CEC" w:rsidP="00F46923">
            <w:pPr>
              <w:tabs>
                <w:tab w:val="right" w:leader="dot" w:pos="8730"/>
                <w:tab w:val="left" w:pos="8820"/>
              </w:tabs>
              <w:rPr>
                <w:sz w:val="26"/>
                <w:szCs w:val="26"/>
              </w:rPr>
            </w:pPr>
            <w:r w:rsidRPr="007E36B5">
              <w:rPr>
                <w:sz w:val="26"/>
                <w:szCs w:val="26"/>
              </w:rPr>
              <w:t>Service Capacit</w:t>
            </w:r>
            <w:r w:rsidR="00AF2BB7" w:rsidRPr="007E36B5">
              <w:rPr>
                <w:sz w:val="26"/>
                <w:szCs w:val="26"/>
              </w:rPr>
              <w:t>ies of CSBs and State Hospitals and Centers</w:t>
            </w:r>
            <w:r w:rsidR="00AF2BB7" w:rsidRPr="007E36B5">
              <w:rPr>
                <w:sz w:val="26"/>
                <w:szCs w:val="26"/>
              </w:rPr>
              <w:tab/>
            </w:r>
            <w:r w:rsidR="00AF2BB7" w:rsidRPr="007E36B5">
              <w:rPr>
                <w:sz w:val="26"/>
                <w:szCs w:val="26"/>
              </w:rPr>
              <w:tab/>
            </w:r>
            <w:r w:rsidR="007E36B5" w:rsidRPr="007E36B5">
              <w:rPr>
                <w:sz w:val="26"/>
                <w:szCs w:val="26"/>
              </w:rPr>
              <w:t>8</w:t>
            </w:r>
          </w:p>
          <w:p w14:paraId="0E25E9BB" w14:textId="77777777" w:rsidR="005D3CEC" w:rsidRPr="007E36B5" w:rsidRDefault="005D3CEC" w:rsidP="00F46923">
            <w:pPr>
              <w:tabs>
                <w:tab w:val="right" w:leader="dot" w:pos="8730"/>
                <w:tab w:val="left" w:pos="8820"/>
              </w:tabs>
              <w:rPr>
                <w:sz w:val="26"/>
                <w:szCs w:val="26"/>
              </w:rPr>
            </w:pPr>
          </w:p>
          <w:p w14:paraId="055DD77C" w14:textId="5F563F3F" w:rsidR="005D3CEC" w:rsidRPr="007E36B5" w:rsidRDefault="00AF2BB7" w:rsidP="00F46923">
            <w:pPr>
              <w:tabs>
                <w:tab w:val="right" w:leader="dot" w:pos="8730"/>
                <w:tab w:val="left" w:pos="8820"/>
              </w:tabs>
              <w:rPr>
                <w:sz w:val="26"/>
                <w:szCs w:val="26"/>
              </w:rPr>
            </w:pPr>
            <w:r w:rsidRPr="007E36B5">
              <w:rPr>
                <w:sz w:val="26"/>
                <w:szCs w:val="26"/>
              </w:rPr>
              <w:t>Staffing of CSBs and DBHDS</w:t>
            </w:r>
            <w:r w:rsidRPr="007E36B5">
              <w:rPr>
                <w:sz w:val="26"/>
                <w:szCs w:val="26"/>
              </w:rPr>
              <w:tab/>
            </w:r>
            <w:r w:rsidRPr="007E36B5">
              <w:rPr>
                <w:sz w:val="26"/>
                <w:szCs w:val="26"/>
              </w:rPr>
              <w:tab/>
            </w:r>
            <w:r w:rsidR="007E36B5" w:rsidRPr="007E36B5">
              <w:rPr>
                <w:sz w:val="26"/>
                <w:szCs w:val="26"/>
              </w:rPr>
              <w:t>9</w:t>
            </w:r>
          </w:p>
          <w:p w14:paraId="7C2074E7" w14:textId="77777777" w:rsidR="005D3CEC" w:rsidRPr="007E36B5" w:rsidRDefault="005D3CEC" w:rsidP="00F46923">
            <w:pPr>
              <w:tabs>
                <w:tab w:val="right" w:leader="dot" w:pos="8730"/>
                <w:tab w:val="left" w:pos="8820"/>
              </w:tabs>
              <w:rPr>
                <w:sz w:val="26"/>
                <w:szCs w:val="26"/>
                <w:highlight w:val="yellow"/>
              </w:rPr>
            </w:pPr>
          </w:p>
          <w:p w14:paraId="0431BF5A" w14:textId="4BE20E70" w:rsidR="005D3CEC" w:rsidRPr="007E36B5" w:rsidRDefault="005D3CEC" w:rsidP="00F46923">
            <w:pPr>
              <w:tabs>
                <w:tab w:val="right" w:leader="dot" w:pos="8730"/>
                <w:tab w:val="left" w:pos="8820"/>
              </w:tabs>
              <w:rPr>
                <w:sz w:val="26"/>
                <w:szCs w:val="26"/>
              </w:rPr>
            </w:pPr>
            <w:r w:rsidRPr="007E36B5">
              <w:rPr>
                <w:sz w:val="26"/>
                <w:szCs w:val="26"/>
              </w:rPr>
              <w:t>Fund</w:t>
            </w:r>
            <w:r w:rsidR="001F3F22" w:rsidRPr="007E36B5">
              <w:rPr>
                <w:sz w:val="26"/>
                <w:szCs w:val="26"/>
              </w:rPr>
              <w:t>s Received by CSBs and DBHDS</w:t>
            </w:r>
            <w:r w:rsidR="001F3F22" w:rsidRPr="007E36B5">
              <w:rPr>
                <w:sz w:val="26"/>
                <w:szCs w:val="26"/>
              </w:rPr>
              <w:tab/>
            </w:r>
            <w:r w:rsidR="001F3F22" w:rsidRPr="007E36B5">
              <w:rPr>
                <w:sz w:val="26"/>
                <w:szCs w:val="26"/>
              </w:rPr>
              <w:tab/>
            </w:r>
            <w:r w:rsidR="007E36B5" w:rsidRPr="007E36B5">
              <w:rPr>
                <w:sz w:val="26"/>
                <w:szCs w:val="26"/>
              </w:rPr>
              <w:t>9</w:t>
            </w:r>
          </w:p>
          <w:p w14:paraId="038695DF" w14:textId="77777777" w:rsidR="005D3CEC" w:rsidRPr="007E36B5" w:rsidRDefault="005D3CEC" w:rsidP="00F46923">
            <w:pPr>
              <w:tabs>
                <w:tab w:val="right" w:leader="dot" w:pos="8730"/>
                <w:tab w:val="left" w:pos="8820"/>
              </w:tabs>
              <w:rPr>
                <w:sz w:val="26"/>
                <w:szCs w:val="26"/>
              </w:rPr>
            </w:pPr>
          </w:p>
          <w:p w14:paraId="5D304C00" w14:textId="560959E2" w:rsidR="005D3CEC" w:rsidRPr="007E36B5" w:rsidRDefault="005D3CEC" w:rsidP="00F46923">
            <w:pPr>
              <w:tabs>
                <w:tab w:val="right" w:leader="dot" w:pos="8730"/>
                <w:tab w:val="left" w:pos="8820"/>
              </w:tabs>
              <w:rPr>
                <w:sz w:val="26"/>
                <w:szCs w:val="26"/>
              </w:rPr>
            </w:pPr>
            <w:r w:rsidRPr="007E36B5">
              <w:rPr>
                <w:sz w:val="26"/>
                <w:szCs w:val="26"/>
              </w:rPr>
              <w:t>Ex</w:t>
            </w:r>
            <w:r w:rsidR="001F3F22" w:rsidRPr="007E36B5">
              <w:rPr>
                <w:sz w:val="26"/>
                <w:szCs w:val="26"/>
              </w:rPr>
              <w:t>penditures by CSBs and DBHDS</w:t>
            </w:r>
            <w:r w:rsidR="001F3F22" w:rsidRPr="007E36B5">
              <w:rPr>
                <w:sz w:val="26"/>
                <w:szCs w:val="26"/>
              </w:rPr>
              <w:tab/>
            </w:r>
            <w:r w:rsidR="001F3F22" w:rsidRPr="007E36B5">
              <w:rPr>
                <w:sz w:val="26"/>
                <w:szCs w:val="26"/>
              </w:rPr>
              <w:tab/>
            </w:r>
            <w:r w:rsidR="007E36B5" w:rsidRPr="007E36B5">
              <w:rPr>
                <w:sz w:val="26"/>
                <w:szCs w:val="26"/>
              </w:rPr>
              <w:t>11</w:t>
            </w:r>
          </w:p>
          <w:p w14:paraId="20E07A7D" w14:textId="77777777" w:rsidR="005D3CEC" w:rsidRPr="007E36B5" w:rsidRDefault="005D3CEC" w:rsidP="00F46923">
            <w:pPr>
              <w:tabs>
                <w:tab w:val="right" w:leader="dot" w:pos="8730"/>
                <w:tab w:val="left" w:pos="8820"/>
              </w:tabs>
              <w:rPr>
                <w:sz w:val="26"/>
                <w:szCs w:val="26"/>
              </w:rPr>
            </w:pPr>
          </w:p>
          <w:p w14:paraId="5EC7C2C2" w14:textId="46638E21" w:rsidR="005D3CEC" w:rsidRPr="007E36B5" w:rsidRDefault="005D3CEC" w:rsidP="00F46923">
            <w:pPr>
              <w:tabs>
                <w:tab w:val="right" w:leader="dot" w:pos="8730"/>
                <w:tab w:val="left" w:pos="8820"/>
              </w:tabs>
              <w:rPr>
                <w:sz w:val="26"/>
                <w:szCs w:val="26"/>
              </w:rPr>
            </w:pPr>
            <w:r w:rsidRPr="007E36B5">
              <w:rPr>
                <w:sz w:val="26"/>
                <w:szCs w:val="26"/>
              </w:rPr>
              <w:t>New Major Initiatives and Accomplishments</w:t>
            </w:r>
            <w:r w:rsidR="001F3F22" w:rsidRPr="007E36B5">
              <w:rPr>
                <w:sz w:val="26"/>
                <w:szCs w:val="26"/>
              </w:rPr>
              <w:t xml:space="preserve"> </w:t>
            </w:r>
            <w:r w:rsidR="001F3F22" w:rsidRPr="007E36B5">
              <w:rPr>
                <w:sz w:val="26"/>
                <w:szCs w:val="26"/>
              </w:rPr>
              <w:tab/>
            </w:r>
            <w:r w:rsidR="001F3F22" w:rsidRPr="007E36B5">
              <w:rPr>
                <w:sz w:val="26"/>
                <w:szCs w:val="26"/>
              </w:rPr>
              <w:tab/>
            </w:r>
            <w:r w:rsidR="007E36B5" w:rsidRPr="007E36B5">
              <w:rPr>
                <w:sz w:val="26"/>
                <w:szCs w:val="26"/>
              </w:rPr>
              <w:t>11</w:t>
            </w:r>
          </w:p>
          <w:p w14:paraId="314ADDC8" w14:textId="00BF397C" w:rsidR="0091670B" w:rsidRPr="00F4298E" w:rsidRDefault="0091670B" w:rsidP="00F46923">
            <w:pPr>
              <w:tabs>
                <w:tab w:val="right" w:leader="dot" w:pos="8730"/>
                <w:tab w:val="left" w:pos="8820"/>
              </w:tabs>
              <w:rPr>
                <w:sz w:val="26"/>
                <w:szCs w:val="26"/>
              </w:rPr>
            </w:pPr>
          </w:p>
          <w:p w14:paraId="441D96EE" w14:textId="5B5C966A" w:rsidR="0091670B" w:rsidRPr="00F4298E" w:rsidRDefault="0091670B" w:rsidP="00E26CE7">
            <w:pPr>
              <w:tabs>
                <w:tab w:val="right" w:leader="dot" w:pos="8730"/>
                <w:tab w:val="left" w:pos="8820"/>
              </w:tabs>
              <w:ind w:left="540"/>
              <w:rPr>
                <w:sz w:val="26"/>
                <w:szCs w:val="26"/>
              </w:rPr>
            </w:pPr>
            <w:r w:rsidRPr="00F4298E">
              <w:rPr>
                <w:sz w:val="26"/>
                <w:szCs w:val="26"/>
              </w:rPr>
              <w:t xml:space="preserve">Administrative Services </w:t>
            </w:r>
            <w:r w:rsidRPr="00F4298E">
              <w:rPr>
                <w:sz w:val="26"/>
                <w:szCs w:val="26"/>
              </w:rPr>
              <w:tab/>
            </w:r>
            <w:r w:rsidRPr="00F4298E">
              <w:rPr>
                <w:sz w:val="26"/>
                <w:szCs w:val="26"/>
              </w:rPr>
              <w:tab/>
            </w:r>
            <w:r w:rsidR="00F4298E" w:rsidRPr="00F4298E">
              <w:rPr>
                <w:sz w:val="26"/>
                <w:szCs w:val="26"/>
              </w:rPr>
              <w:t>12</w:t>
            </w:r>
            <w:r w:rsidRPr="00F4298E">
              <w:rPr>
                <w:sz w:val="26"/>
                <w:szCs w:val="26"/>
              </w:rPr>
              <w:br/>
            </w:r>
          </w:p>
          <w:p w14:paraId="5D38843F" w14:textId="1A1BA2AC" w:rsidR="0091670B" w:rsidRPr="00F4298E" w:rsidRDefault="0091670B" w:rsidP="00E26CE7">
            <w:pPr>
              <w:tabs>
                <w:tab w:val="right" w:leader="dot" w:pos="8730"/>
                <w:tab w:val="left" w:pos="8820"/>
              </w:tabs>
              <w:ind w:left="540"/>
              <w:rPr>
                <w:sz w:val="26"/>
                <w:szCs w:val="26"/>
              </w:rPr>
            </w:pPr>
            <w:r w:rsidRPr="00F4298E">
              <w:rPr>
                <w:sz w:val="26"/>
                <w:szCs w:val="26"/>
              </w:rPr>
              <w:t xml:space="preserve">Clinical </w:t>
            </w:r>
            <w:r w:rsidR="00974FB5">
              <w:rPr>
                <w:sz w:val="26"/>
                <w:szCs w:val="26"/>
              </w:rPr>
              <w:t>Services</w:t>
            </w:r>
            <w:r w:rsidRPr="00F4298E">
              <w:rPr>
                <w:sz w:val="26"/>
                <w:szCs w:val="26"/>
              </w:rPr>
              <w:tab/>
            </w:r>
            <w:r w:rsidRPr="00F4298E">
              <w:rPr>
                <w:sz w:val="26"/>
                <w:szCs w:val="26"/>
              </w:rPr>
              <w:tab/>
            </w:r>
            <w:r w:rsidR="00F4298E" w:rsidRPr="00F4298E">
              <w:rPr>
                <w:sz w:val="26"/>
                <w:szCs w:val="26"/>
              </w:rPr>
              <w:t>15</w:t>
            </w:r>
            <w:r w:rsidRPr="00F4298E">
              <w:rPr>
                <w:sz w:val="26"/>
                <w:szCs w:val="26"/>
              </w:rPr>
              <w:br/>
            </w:r>
          </w:p>
          <w:p w14:paraId="00944491" w14:textId="07CE5217" w:rsidR="00BD091E" w:rsidRPr="00E26CE7" w:rsidRDefault="00BD091E" w:rsidP="00E26CE7">
            <w:pPr>
              <w:tabs>
                <w:tab w:val="right" w:leader="dot" w:pos="8730"/>
                <w:tab w:val="left" w:pos="8820"/>
              </w:tabs>
              <w:ind w:left="540"/>
              <w:rPr>
                <w:sz w:val="26"/>
                <w:szCs w:val="26"/>
              </w:rPr>
            </w:pPr>
            <w:r w:rsidRPr="00F4298E">
              <w:rPr>
                <w:sz w:val="26"/>
                <w:szCs w:val="26"/>
              </w:rPr>
              <w:t xml:space="preserve">Community </w:t>
            </w:r>
            <w:r w:rsidRPr="00E26CE7">
              <w:rPr>
                <w:sz w:val="26"/>
                <w:szCs w:val="26"/>
              </w:rPr>
              <w:t xml:space="preserve">Services </w:t>
            </w:r>
            <w:r w:rsidRPr="00E26CE7">
              <w:rPr>
                <w:sz w:val="26"/>
                <w:szCs w:val="26"/>
              </w:rPr>
              <w:tab/>
            </w:r>
            <w:r w:rsidRPr="00E26CE7">
              <w:rPr>
                <w:sz w:val="26"/>
                <w:szCs w:val="26"/>
              </w:rPr>
              <w:tab/>
            </w:r>
            <w:r w:rsidR="00F4298E" w:rsidRPr="00E26CE7">
              <w:rPr>
                <w:sz w:val="26"/>
                <w:szCs w:val="26"/>
              </w:rPr>
              <w:t>18</w:t>
            </w:r>
          </w:p>
          <w:p w14:paraId="6CEDE374" w14:textId="39E0E648" w:rsidR="001F7427" w:rsidRPr="00E26CE7" w:rsidRDefault="005C6094" w:rsidP="005C6094">
            <w:pPr>
              <w:tabs>
                <w:tab w:val="right" w:leader="dot" w:pos="8730"/>
                <w:tab w:val="left" w:pos="8820"/>
              </w:tabs>
              <w:ind w:left="1170"/>
              <w:rPr>
                <w:sz w:val="26"/>
                <w:szCs w:val="26"/>
              </w:rPr>
            </w:pPr>
            <w:r w:rsidRPr="00E26CE7">
              <w:rPr>
                <w:sz w:val="26"/>
                <w:szCs w:val="26"/>
              </w:rPr>
              <w:t>Behavioral Health Services</w:t>
            </w:r>
            <w:r w:rsidR="001F7427" w:rsidRPr="00E26CE7">
              <w:rPr>
                <w:sz w:val="26"/>
                <w:szCs w:val="26"/>
              </w:rPr>
              <w:t xml:space="preserve"> </w:t>
            </w:r>
            <w:r w:rsidR="001F7427" w:rsidRPr="00E26CE7">
              <w:rPr>
                <w:sz w:val="26"/>
                <w:szCs w:val="26"/>
              </w:rPr>
              <w:tab/>
            </w:r>
            <w:r w:rsidR="001F7427" w:rsidRPr="00E26CE7">
              <w:rPr>
                <w:sz w:val="26"/>
                <w:szCs w:val="26"/>
              </w:rPr>
              <w:tab/>
            </w:r>
            <w:r w:rsidR="00F4298E" w:rsidRPr="00E26CE7">
              <w:rPr>
                <w:sz w:val="26"/>
                <w:szCs w:val="26"/>
              </w:rPr>
              <w:t>18</w:t>
            </w:r>
          </w:p>
          <w:p w14:paraId="71EB73E9" w14:textId="4132E5B2" w:rsidR="005C6094" w:rsidRPr="00E26CE7" w:rsidRDefault="005C6094" w:rsidP="005C6094">
            <w:pPr>
              <w:tabs>
                <w:tab w:val="right" w:leader="dot" w:pos="8730"/>
                <w:tab w:val="left" w:pos="8820"/>
              </w:tabs>
              <w:ind w:left="1170"/>
              <w:rPr>
                <w:sz w:val="26"/>
                <w:szCs w:val="26"/>
              </w:rPr>
            </w:pPr>
            <w:r w:rsidRPr="00E26CE7">
              <w:rPr>
                <w:sz w:val="26"/>
                <w:szCs w:val="26"/>
              </w:rPr>
              <w:t xml:space="preserve">Cross Disability Services </w:t>
            </w:r>
            <w:r w:rsidRPr="00E26CE7">
              <w:rPr>
                <w:sz w:val="26"/>
                <w:szCs w:val="26"/>
              </w:rPr>
              <w:tab/>
            </w:r>
            <w:r w:rsidRPr="00E26CE7">
              <w:rPr>
                <w:sz w:val="26"/>
                <w:szCs w:val="26"/>
              </w:rPr>
              <w:tab/>
            </w:r>
            <w:r w:rsidR="00E26CE7" w:rsidRPr="00E26CE7">
              <w:rPr>
                <w:sz w:val="26"/>
                <w:szCs w:val="26"/>
              </w:rPr>
              <w:t>25</w:t>
            </w:r>
          </w:p>
          <w:p w14:paraId="6A0894F8" w14:textId="7B68FA18" w:rsidR="001F7427" w:rsidRPr="00E26CE7" w:rsidRDefault="005C6094" w:rsidP="005C6094">
            <w:pPr>
              <w:tabs>
                <w:tab w:val="right" w:leader="dot" w:pos="8730"/>
                <w:tab w:val="left" w:pos="8820"/>
              </w:tabs>
              <w:ind w:left="1170"/>
              <w:rPr>
                <w:rStyle w:val="Hyperlink"/>
                <w:color w:val="auto"/>
                <w:sz w:val="26"/>
                <w:szCs w:val="26"/>
              </w:rPr>
            </w:pPr>
            <w:r w:rsidRPr="00E26CE7">
              <w:rPr>
                <w:sz w:val="26"/>
                <w:szCs w:val="26"/>
              </w:rPr>
              <w:t>Developmental Disability Services</w:t>
            </w:r>
            <w:r w:rsidR="001F7427" w:rsidRPr="00E26CE7">
              <w:rPr>
                <w:sz w:val="26"/>
                <w:szCs w:val="26"/>
              </w:rPr>
              <w:t xml:space="preserve"> </w:t>
            </w:r>
            <w:r w:rsidR="001F7427" w:rsidRPr="00E26CE7">
              <w:rPr>
                <w:sz w:val="26"/>
                <w:szCs w:val="26"/>
              </w:rPr>
              <w:tab/>
            </w:r>
            <w:r w:rsidR="001F7427" w:rsidRPr="00E26CE7">
              <w:rPr>
                <w:sz w:val="26"/>
                <w:szCs w:val="26"/>
              </w:rPr>
              <w:tab/>
            </w:r>
            <w:r w:rsidR="00E26CE7" w:rsidRPr="00E26CE7">
              <w:rPr>
                <w:sz w:val="26"/>
                <w:szCs w:val="26"/>
              </w:rPr>
              <w:t>26</w:t>
            </w:r>
          </w:p>
          <w:p w14:paraId="561CA9BC" w14:textId="7B942950" w:rsidR="001F7427" w:rsidRPr="00E26CE7" w:rsidRDefault="001F7427" w:rsidP="00E26CE7">
            <w:pPr>
              <w:tabs>
                <w:tab w:val="right" w:leader="dot" w:pos="8730"/>
                <w:tab w:val="left" w:pos="8820"/>
              </w:tabs>
              <w:ind w:left="540"/>
              <w:rPr>
                <w:sz w:val="26"/>
                <w:szCs w:val="26"/>
              </w:rPr>
            </w:pPr>
            <w:r w:rsidRPr="00E26CE7">
              <w:rPr>
                <w:rStyle w:val="Hyperlink"/>
                <w:color w:val="auto"/>
              </w:rPr>
              <w:br/>
            </w:r>
            <w:r w:rsidR="00BD091E" w:rsidRPr="00E26CE7">
              <w:rPr>
                <w:sz w:val="26"/>
                <w:szCs w:val="26"/>
              </w:rPr>
              <w:t xml:space="preserve">Facility Services </w:t>
            </w:r>
            <w:r w:rsidR="00BD091E" w:rsidRPr="00E26CE7">
              <w:rPr>
                <w:sz w:val="26"/>
                <w:szCs w:val="26"/>
              </w:rPr>
              <w:tab/>
            </w:r>
            <w:r w:rsidR="00BD091E" w:rsidRPr="00E26CE7">
              <w:rPr>
                <w:sz w:val="26"/>
                <w:szCs w:val="26"/>
              </w:rPr>
              <w:tab/>
            </w:r>
            <w:r w:rsidR="00E26CE7" w:rsidRPr="00E26CE7">
              <w:rPr>
                <w:sz w:val="26"/>
                <w:szCs w:val="26"/>
              </w:rPr>
              <w:t>30</w:t>
            </w:r>
            <w:r w:rsidR="00BD091E" w:rsidRPr="00E26CE7">
              <w:rPr>
                <w:rStyle w:val="Hyperlink"/>
                <w:color w:val="auto"/>
                <w:sz w:val="26"/>
                <w:szCs w:val="26"/>
              </w:rPr>
              <w:br/>
            </w:r>
          </w:p>
          <w:p w14:paraId="4F07797C" w14:textId="0124CC23" w:rsidR="0091670B" w:rsidRPr="004023E5" w:rsidRDefault="007E36B5" w:rsidP="00E26CE7">
            <w:pPr>
              <w:tabs>
                <w:tab w:val="right" w:leader="dot" w:pos="8730"/>
                <w:tab w:val="left" w:pos="8820"/>
              </w:tabs>
              <w:ind w:left="540"/>
              <w:rPr>
                <w:color w:val="FF0000"/>
                <w:sz w:val="26"/>
                <w:szCs w:val="26"/>
              </w:rPr>
            </w:pPr>
            <w:r w:rsidRPr="00E26CE7">
              <w:rPr>
                <w:sz w:val="26"/>
                <w:szCs w:val="26"/>
              </w:rPr>
              <w:t>Human Rights and Licensing</w:t>
            </w:r>
            <w:r w:rsidR="0091670B" w:rsidRPr="00E26CE7">
              <w:rPr>
                <w:sz w:val="26"/>
                <w:szCs w:val="26"/>
              </w:rPr>
              <w:t xml:space="preserve"> </w:t>
            </w:r>
            <w:r w:rsidR="0091670B" w:rsidRPr="00E26CE7">
              <w:rPr>
                <w:sz w:val="26"/>
                <w:szCs w:val="26"/>
              </w:rPr>
              <w:tab/>
            </w:r>
            <w:r w:rsidR="0091670B" w:rsidRPr="00E26CE7">
              <w:rPr>
                <w:sz w:val="26"/>
                <w:szCs w:val="26"/>
              </w:rPr>
              <w:tab/>
            </w:r>
            <w:r w:rsidR="00E26CE7" w:rsidRPr="00E26CE7">
              <w:rPr>
                <w:sz w:val="26"/>
                <w:szCs w:val="26"/>
              </w:rPr>
              <w:t>34</w:t>
            </w:r>
            <w:r w:rsidR="0091670B" w:rsidRPr="004023E5">
              <w:rPr>
                <w:color w:val="FF0000"/>
                <w:sz w:val="26"/>
                <w:szCs w:val="26"/>
              </w:rPr>
              <w:br/>
            </w:r>
          </w:p>
          <w:p w14:paraId="3E3AB4F8" w14:textId="77777777" w:rsidR="0091670B" w:rsidRPr="004023E5" w:rsidRDefault="0091670B" w:rsidP="00F46923">
            <w:pPr>
              <w:tabs>
                <w:tab w:val="right" w:leader="dot" w:pos="8730"/>
                <w:tab w:val="left" w:pos="8820"/>
              </w:tabs>
              <w:rPr>
                <w:color w:val="FF0000"/>
                <w:sz w:val="26"/>
                <w:szCs w:val="26"/>
              </w:rPr>
            </w:pPr>
          </w:p>
          <w:p w14:paraId="574FED5F" w14:textId="77777777" w:rsidR="00F04D27" w:rsidRPr="004023E5" w:rsidRDefault="00F04D27" w:rsidP="00F46923">
            <w:pPr>
              <w:jc w:val="center"/>
              <w:rPr>
                <w:color w:val="FF0000"/>
              </w:rPr>
            </w:pPr>
          </w:p>
        </w:tc>
      </w:tr>
      <w:tr w:rsidR="009878E9" w14:paraId="4D5FF686" w14:textId="77777777" w:rsidTr="00FB5B09">
        <w:trPr>
          <w:jc w:val="center"/>
        </w:trPr>
        <w:tc>
          <w:tcPr>
            <w:tcW w:w="9360" w:type="dxa"/>
            <w:tcBorders>
              <w:right w:val="nil"/>
            </w:tcBorders>
          </w:tcPr>
          <w:p w14:paraId="373A29BD" w14:textId="77777777" w:rsidR="009878E9" w:rsidRPr="00FB5B09" w:rsidRDefault="009878E9" w:rsidP="00F46923">
            <w:pPr>
              <w:jc w:val="center"/>
              <w:rPr>
                <w:b/>
                <w:sz w:val="36"/>
                <w:szCs w:val="36"/>
              </w:rPr>
            </w:pPr>
          </w:p>
        </w:tc>
      </w:tr>
    </w:tbl>
    <w:p w14:paraId="2380125A" w14:textId="77777777" w:rsidR="004023E5" w:rsidRDefault="004023E5" w:rsidP="00F46923">
      <w:pPr>
        <w:ind w:right="-90"/>
        <w:rPr>
          <w:b/>
          <w:sz w:val="40"/>
          <w:szCs w:val="40"/>
        </w:rPr>
      </w:pPr>
      <w:bookmarkStart w:id="0" w:name="Executive_Summary"/>
    </w:p>
    <w:p w14:paraId="084714AD" w14:textId="77777777" w:rsidR="004023E5" w:rsidRDefault="004023E5" w:rsidP="00F46923">
      <w:pPr>
        <w:ind w:right="-90"/>
        <w:rPr>
          <w:b/>
          <w:sz w:val="40"/>
          <w:szCs w:val="40"/>
        </w:rPr>
      </w:pPr>
    </w:p>
    <w:p w14:paraId="0AD7CBA7" w14:textId="2144D17B" w:rsidR="005C6094" w:rsidRDefault="005C6094" w:rsidP="00F46923">
      <w:pPr>
        <w:ind w:right="-90"/>
        <w:rPr>
          <w:b/>
          <w:sz w:val="40"/>
          <w:szCs w:val="40"/>
        </w:rPr>
      </w:pPr>
    </w:p>
    <w:p w14:paraId="682524E3" w14:textId="77777777" w:rsidR="00E26CE7" w:rsidRDefault="00E26CE7" w:rsidP="00F46923">
      <w:pPr>
        <w:ind w:right="-90"/>
        <w:rPr>
          <w:b/>
          <w:sz w:val="40"/>
          <w:szCs w:val="40"/>
        </w:rPr>
      </w:pPr>
    </w:p>
    <w:p w14:paraId="7F79AD5B" w14:textId="77777777" w:rsidR="00E26CE7" w:rsidRDefault="00E26CE7" w:rsidP="00F46923">
      <w:pPr>
        <w:ind w:right="-90"/>
        <w:rPr>
          <w:b/>
          <w:sz w:val="40"/>
          <w:szCs w:val="40"/>
        </w:rPr>
      </w:pPr>
    </w:p>
    <w:p w14:paraId="1D36C3D2" w14:textId="7405040F" w:rsidR="00CE16A6" w:rsidRPr="00FB1B14" w:rsidRDefault="00C93530" w:rsidP="00F46923">
      <w:pPr>
        <w:ind w:right="-90"/>
        <w:rPr>
          <w:b/>
          <w:sz w:val="30"/>
          <w:szCs w:val="30"/>
        </w:rPr>
      </w:pPr>
      <w:r w:rsidRPr="00C93530">
        <w:rPr>
          <w:b/>
          <w:sz w:val="40"/>
          <w:szCs w:val="40"/>
        </w:rPr>
        <w:lastRenderedPageBreak/>
        <w:t>Executive Summary</w:t>
      </w:r>
      <w:bookmarkEnd w:id="0"/>
      <w:r>
        <w:rPr>
          <w:b/>
          <w:sz w:val="30"/>
          <w:szCs w:val="30"/>
        </w:rPr>
        <w:br/>
      </w:r>
      <w:r w:rsidR="001142E3" w:rsidRPr="00FB1B14">
        <w:rPr>
          <w:b/>
          <w:sz w:val="30"/>
          <w:szCs w:val="30"/>
        </w:rPr>
        <w:t>Virginia’s</w:t>
      </w:r>
      <w:r w:rsidR="00CE16A6" w:rsidRPr="00FB1B14">
        <w:rPr>
          <w:b/>
          <w:sz w:val="30"/>
          <w:szCs w:val="30"/>
        </w:rPr>
        <w:t xml:space="preserve"> Public </w:t>
      </w:r>
      <w:r w:rsidR="00652F56" w:rsidRPr="00FB1B14">
        <w:rPr>
          <w:b/>
          <w:sz w:val="30"/>
          <w:szCs w:val="30"/>
        </w:rPr>
        <w:t xml:space="preserve">Behavioral Health and Developmental </w:t>
      </w:r>
      <w:r w:rsidR="00CE16A6" w:rsidRPr="00FB1B14">
        <w:rPr>
          <w:b/>
          <w:sz w:val="30"/>
          <w:szCs w:val="30"/>
        </w:rPr>
        <w:t>Services System</w:t>
      </w:r>
    </w:p>
    <w:p w14:paraId="59031246" w14:textId="77777777" w:rsidR="006745DC" w:rsidRDefault="006745DC" w:rsidP="00F46923">
      <w:pPr>
        <w:sectPr w:rsidR="006745DC" w:rsidSect="00E316B7">
          <w:headerReference w:type="default" r:id="rId18"/>
          <w:footerReference w:type="default" r:id="rId19"/>
          <w:pgSz w:w="12240" w:h="15840" w:code="1"/>
          <w:pgMar w:top="1440" w:right="1440" w:bottom="1440" w:left="1440" w:header="720" w:footer="720" w:gutter="0"/>
          <w:pgNumType w:start="1"/>
          <w:cols w:space="720"/>
          <w:docGrid w:linePitch="360"/>
        </w:sectPr>
      </w:pPr>
    </w:p>
    <w:p w14:paraId="65E0F01A" w14:textId="77777777" w:rsidR="006540CF" w:rsidRDefault="006540CF" w:rsidP="00F46923"/>
    <w:p w14:paraId="01680C23" w14:textId="14B24822" w:rsidR="006540CF" w:rsidRDefault="006540CF" w:rsidP="00F46923">
      <w:r>
        <w:t>Virginia’s</w:t>
      </w:r>
      <w:r w:rsidRPr="00A472C3">
        <w:t xml:space="preserve"> publi</w:t>
      </w:r>
      <w:r>
        <w:t>c</w:t>
      </w:r>
      <w:r w:rsidRPr="00A472C3">
        <w:t xml:space="preserve"> behavioral health and developmental services system provides services to individuals with mental </w:t>
      </w:r>
      <w:r>
        <w:t>illness</w:t>
      </w:r>
      <w:r w:rsidRPr="00A472C3">
        <w:t xml:space="preserve">, </w:t>
      </w:r>
      <w:r w:rsidRPr="00E4726D">
        <w:t xml:space="preserve">developmental </w:t>
      </w:r>
      <w:r w:rsidRPr="00A472C3">
        <w:t>disabilit</w:t>
      </w:r>
      <w:r>
        <w:t>ies</w:t>
      </w:r>
      <w:r w:rsidRPr="00A472C3">
        <w:t xml:space="preserve">, </w:t>
      </w:r>
      <w:r>
        <w:t xml:space="preserve">or </w:t>
      </w:r>
      <w:r w:rsidRPr="00A472C3">
        <w:t xml:space="preserve">substance use disorders through </w:t>
      </w:r>
      <w:r>
        <w:t xml:space="preserve">state-operated state hospitals and </w:t>
      </w:r>
      <w:r w:rsidRPr="00A472C3">
        <w:t>center</w:t>
      </w:r>
      <w:r>
        <w:t>s</w:t>
      </w:r>
      <w:r w:rsidRPr="00A472C3">
        <w:t>, and 39 community services boards and one behavioral health authority</w:t>
      </w:r>
      <w:r w:rsidR="003E7B54">
        <w:t xml:space="preserve"> (</w:t>
      </w:r>
      <w:r w:rsidRPr="00A472C3">
        <w:t>CSBs</w:t>
      </w:r>
      <w:r w:rsidR="003E7B54">
        <w:t>)</w:t>
      </w:r>
      <w:r w:rsidRPr="00A472C3">
        <w:t xml:space="preserve">.  </w:t>
      </w:r>
    </w:p>
    <w:p w14:paraId="5E4B80DE" w14:textId="119BB08C" w:rsidR="004023E5" w:rsidRDefault="004023E5" w:rsidP="00F46923"/>
    <w:p w14:paraId="0D92F5AC" w14:textId="6F49EA73" w:rsidR="004023E5" w:rsidRPr="00F4298E" w:rsidRDefault="004023E5" w:rsidP="00F4298E">
      <w:pPr>
        <w:ind w:left="360" w:right="540"/>
        <w:jc w:val="both"/>
        <w:rPr>
          <w:b/>
          <w:i/>
          <w:sz w:val="28"/>
          <w:szCs w:val="28"/>
        </w:rPr>
      </w:pPr>
      <w:r w:rsidRPr="00F4298E">
        <w:rPr>
          <w:b/>
          <w:i/>
          <w:sz w:val="28"/>
          <w:szCs w:val="28"/>
        </w:rPr>
        <w:t xml:space="preserve">In FY 2022, a total of </w:t>
      </w:r>
      <w:r w:rsidR="00461F20" w:rsidRPr="00F4298E">
        <w:rPr>
          <w:b/>
          <w:i/>
          <w:sz w:val="28"/>
          <w:szCs w:val="28"/>
        </w:rPr>
        <w:t>210,947</w:t>
      </w:r>
      <w:r w:rsidRPr="00F4298E">
        <w:rPr>
          <w:b/>
          <w:i/>
          <w:sz w:val="28"/>
          <w:szCs w:val="28"/>
        </w:rPr>
        <w:t xml:space="preserve"> unduplicated individuals received services in the public behavioral health and developmental services system: </w:t>
      </w:r>
      <w:r w:rsidR="00461F20" w:rsidRPr="00F4298E">
        <w:rPr>
          <w:b/>
          <w:i/>
          <w:sz w:val="28"/>
          <w:szCs w:val="28"/>
        </w:rPr>
        <w:t>210,078</w:t>
      </w:r>
      <w:r w:rsidRPr="00F4298E">
        <w:rPr>
          <w:b/>
          <w:i/>
          <w:sz w:val="28"/>
          <w:szCs w:val="28"/>
        </w:rPr>
        <w:t xml:space="preserve"> received services from CSBs, </w:t>
      </w:r>
      <w:r w:rsidR="001D0E56" w:rsidRPr="00F4298E">
        <w:rPr>
          <w:b/>
          <w:i/>
          <w:sz w:val="28"/>
          <w:szCs w:val="28"/>
        </w:rPr>
        <w:t>5,856</w:t>
      </w:r>
      <w:r w:rsidRPr="00F4298E">
        <w:rPr>
          <w:b/>
          <w:i/>
          <w:sz w:val="28"/>
          <w:szCs w:val="28"/>
        </w:rPr>
        <w:t xml:space="preserve"> received services in state hospitals and centers, and many received services from both. </w:t>
      </w:r>
    </w:p>
    <w:p w14:paraId="59E77CE8" w14:textId="77777777" w:rsidR="004023E5" w:rsidRDefault="004023E5" w:rsidP="00F46923"/>
    <w:p w14:paraId="20AFBDAE" w14:textId="73E577BC" w:rsidR="004023E5" w:rsidRDefault="004023E5" w:rsidP="00F46923">
      <w:r>
        <w:t>The following report provides detailed information on people who received services throughout FY 202</w:t>
      </w:r>
      <w:r w:rsidR="00990E2B">
        <w:t>2</w:t>
      </w:r>
      <w:r>
        <w:t xml:space="preserve"> from </w:t>
      </w:r>
      <w:r w:rsidR="00990E2B">
        <w:t xml:space="preserve">the public system, along with </w:t>
      </w:r>
      <w:r>
        <w:t xml:space="preserve">services </w:t>
      </w:r>
      <w:r w:rsidR="00990E2B">
        <w:t xml:space="preserve">and staffing </w:t>
      </w:r>
      <w:r>
        <w:t xml:space="preserve">capabilities, </w:t>
      </w:r>
      <w:r w:rsidR="00990E2B">
        <w:t xml:space="preserve">and </w:t>
      </w:r>
      <w:r>
        <w:t xml:space="preserve">funds received and expenditures by CSBs and DBHDS. </w:t>
      </w:r>
      <w:r w:rsidR="00990E2B">
        <w:t>T</w:t>
      </w:r>
      <w:r>
        <w:t xml:space="preserve">he report </w:t>
      </w:r>
      <w:r w:rsidR="00990E2B">
        <w:t xml:space="preserve">also </w:t>
      </w:r>
      <w:r>
        <w:t xml:space="preserve">provides </w:t>
      </w:r>
      <w:r w:rsidR="00990E2B">
        <w:t xml:space="preserve">DBHDS’ </w:t>
      </w:r>
      <w:r>
        <w:t>major initiatives and key accomplishments during FY 2022.</w:t>
      </w:r>
    </w:p>
    <w:p w14:paraId="1CD0B3EB" w14:textId="77777777" w:rsidR="004023E5" w:rsidRDefault="004023E5" w:rsidP="00F46923"/>
    <w:p w14:paraId="73CD62C0" w14:textId="77777777" w:rsidR="009B5509" w:rsidRDefault="009B5509" w:rsidP="00F46923">
      <w:pPr>
        <w:rPr>
          <w:b/>
          <w:bCs/>
        </w:rPr>
      </w:pPr>
    </w:p>
    <w:p w14:paraId="0FA64367" w14:textId="1F2F4742" w:rsidR="006540CF" w:rsidRPr="004023E5" w:rsidRDefault="004023E5" w:rsidP="00F46923">
      <w:pPr>
        <w:rPr>
          <w:b/>
          <w:bCs/>
        </w:rPr>
      </w:pPr>
      <w:r w:rsidRPr="004023E5">
        <w:rPr>
          <w:b/>
          <w:bCs/>
        </w:rPr>
        <w:t>Background</w:t>
      </w:r>
      <w:r>
        <w:rPr>
          <w:b/>
          <w:bCs/>
        </w:rPr>
        <w:br/>
      </w:r>
    </w:p>
    <w:p w14:paraId="78749218" w14:textId="77777777" w:rsidR="006540CF" w:rsidRDefault="00D03F06" w:rsidP="00F46923">
      <w:r w:rsidRPr="00A472C3">
        <w:t>CSBs function as the single points of entry into p</w:t>
      </w:r>
      <w:r>
        <w:t xml:space="preserve">ublicly </w:t>
      </w:r>
      <w:r w:rsidRPr="00A472C3">
        <w:t>funded behavioral health and developmental services, including access to state facility services through preadmission screening, case management and coordination of services, and discharge planning for individuals leaving state facilities.</w:t>
      </w:r>
      <w:r>
        <w:t xml:space="preserve"> </w:t>
      </w:r>
      <w:r w:rsidR="006540CF" w:rsidRPr="00335395">
        <w:t xml:space="preserve">While not part of </w:t>
      </w:r>
      <w:r w:rsidR="006540CF">
        <w:t>the Department of Behavioral Health and Developmental Services (DBHDS)</w:t>
      </w:r>
      <w:r w:rsidR="006540CF" w:rsidRPr="00335395">
        <w:t xml:space="preserve">, </w:t>
      </w:r>
      <w:proofErr w:type="gramStart"/>
      <w:r w:rsidR="006540CF">
        <w:t>locally-operated</w:t>
      </w:r>
      <w:proofErr w:type="gramEnd"/>
      <w:r w:rsidR="006540CF">
        <w:t xml:space="preserve"> </w:t>
      </w:r>
      <w:r w:rsidR="006540CF" w:rsidRPr="00335395">
        <w:t>CSBs are key</w:t>
      </w:r>
      <w:r>
        <w:t xml:space="preserve"> </w:t>
      </w:r>
      <w:r w:rsidR="006540CF">
        <w:t>partners</w:t>
      </w:r>
      <w:r w:rsidR="006540CF" w:rsidRPr="00335395">
        <w:t xml:space="preserve">. </w:t>
      </w:r>
      <w:r w:rsidR="006540CF" w:rsidRPr="00A472C3">
        <w:t>CSBs provide services directly and through contracts with private prov</w:t>
      </w:r>
      <w:r>
        <w:t xml:space="preserve">iders, which are vital to </w:t>
      </w:r>
      <w:r w:rsidR="006540CF" w:rsidRPr="00A472C3">
        <w:t>delivering behavioral health</w:t>
      </w:r>
      <w:r w:rsidR="006540CF">
        <w:t xml:space="preserve"> </w:t>
      </w:r>
      <w:r w:rsidR="00D76900">
        <w:t xml:space="preserve">and developmental services. </w:t>
      </w:r>
      <w:r w:rsidR="006540CF" w:rsidRPr="00A472C3">
        <w:t xml:space="preserve">Virginia’s </w:t>
      </w:r>
      <w:r w:rsidR="006540CF" w:rsidRPr="00C12EE5">
        <w:t>13</w:t>
      </w:r>
      <w:r w:rsidR="006540CF">
        <w:t>3</w:t>
      </w:r>
      <w:r w:rsidR="006540CF" w:rsidRPr="00A472C3">
        <w:t xml:space="preserve"> cities or counties established CSBs pursuant to Chapter 5 or 6 of Title 37.2 of the </w:t>
      </w:r>
      <w:r w:rsidR="006540CF" w:rsidRPr="005B389F">
        <w:t>Code of Virginia</w:t>
      </w:r>
      <w:r w:rsidR="006540CF" w:rsidRPr="00A472C3">
        <w:t>.</w:t>
      </w:r>
      <w:r w:rsidR="006540CF">
        <w:t xml:space="preserve"> DBHDS negotiates a </w:t>
      </w:r>
      <w:r w:rsidR="006540CF" w:rsidRPr="00335395">
        <w:t>performan</w:t>
      </w:r>
      <w:r w:rsidR="006540CF">
        <w:t>c</w:t>
      </w:r>
      <w:r w:rsidR="006540CF" w:rsidRPr="00335395">
        <w:t>e contract</w:t>
      </w:r>
      <w:r w:rsidR="006540CF">
        <w:t xml:space="preserve"> with each CSB for the provision of services, provides state</w:t>
      </w:r>
      <w:r w:rsidR="006540CF" w:rsidRPr="00335395">
        <w:t xml:space="preserve"> funds, monitors,</w:t>
      </w:r>
      <w:r w:rsidR="006540CF">
        <w:t xml:space="preserve"> licenses</w:t>
      </w:r>
      <w:r w:rsidR="006540CF" w:rsidRPr="00335395">
        <w:t xml:space="preserve">, regulates, and provides leadership, guidance, and direction to CSBs.  </w:t>
      </w:r>
    </w:p>
    <w:p w14:paraId="2B159998" w14:textId="77777777" w:rsidR="006540CF" w:rsidRDefault="006540CF" w:rsidP="00F46923"/>
    <w:p w14:paraId="76B2299E" w14:textId="77777777" w:rsidR="006540CF" w:rsidRDefault="00D03F06" w:rsidP="00F46923">
      <w:r>
        <w:t xml:space="preserve">DBHDS </w:t>
      </w:r>
      <w:r w:rsidR="00D64E35">
        <w:t xml:space="preserve">operates </w:t>
      </w:r>
      <w:r w:rsidR="00596F29">
        <w:t>12</w:t>
      </w:r>
      <w:r w:rsidR="006540CF">
        <w:t xml:space="preserve"> state hospitals and centers, as follows:</w:t>
      </w:r>
    </w:p>
    <w:p w14:paraId="2BF38497" w14:textId="77777777" w:rsidR="006540CF" w:rsidRDefault="006540CF" w:rsidP="00F46923">
      <w:pPr>
        <w:numPr>
          <w:ilvl w:val="12"/>
          <w:numId w:val="0"/>
        </w:numPr>
      </w:pPr>
    </w:p>
    <w:p w14:paraId="383267CD" w14:textId="29524D4C" w:rsidR="006540CF" w:rsidRDefault="006540CF" w:rsidP="00F46923">
      <w:pPr>
        <w:pStyle w:val="ListParagraph"/>
        <w:numPr>
          <w:ilvl w:val="0"/>
          <w:numId w:val="1"/>
        </w:numPr>
        <w:spacing w:line="240" w:lineRule="auto"/>
        <w:rPr>
          <w:rFonts w:ascii="Times New Roman" w:hAnsi="Times New Roman"/>
          <w:sz w:val="24"/>
          <w:szCs w:val="24"/>
        </w:rPr>
      </w:pPr>
      <w:r w:rsidRPr="00D3097F">
        <w:rPr>
          <w:rFonts w:ascii="Times New Roman" w:hAnsi="Times New Roman"/>
          <w:b/>
          <w:sz w:val="24"/>
          <w:szCs w:val="24"/>
        </w:rPr>
        <w:t>State Hospitals –</w:t>
      </w:r>
      <w:r w:rsidRPr="00D3097F">
        <w:rPr>
          <w:rFonts w:ascii="Times New Roman" w:hAnsi="Times New Roman"/>
          <w:sz w:val="24"/>
          <w:szCs w:val="24"/>
        </w:rPr>
        <w:t xml:space="preserve"> DBHDS operates eight state hospitals for adults: Catawba Hospital (CH) in Salem, Central State Hospital (CSH) in Petersburg, Eastern State Hospital (ESH) in Williamsburg, Northern Virginia Mental Health Institute (NVMHI) in Falls Church, Piedmont Geriatric Hospital (PGH) in Burkeville, Southern Virginia Mental Health Institute (SVMHI) in Danville, Southwestern Virginia Mental Health Institute (SWVMHI) in Marion, and Western Sta</w:t>
      </w:r>
      <w:r w:rsidR="00D76900">
        <w:rPr>
          <w:rFonts w:ascii="Times New Roman" w:hAnsi="Times New Roman"/>
          <w:sz w:val="24"/>
          <w:szCs w:val="24"/>
        </w:rPr>
        <w:t xml:space="preserve">te Hospital (WSH) in Staunton. </w:t>
      </w:r>
      <w:r w:rsidRPr="00D3097F">
        <w:rPr>
          <w:rFonts w:ascii="Times New Roman" w:hAnsi="Times New Roman"/>
          <w:sz w:val="24"/>
          <w:szCs w:val="24"/>
        </w:rPr>
        <w:t xml:space="preserve">The Commonwealth Center for Children and Adolescents (CCCA) in Staunton is the only state hospital for children with </w:t>
      </w:r>
      <w:r w:rsidR="00D76900">
        <w:rPr>
          <w:rFonts w:ascii="Times New Roman" w:hAnsi="Times New Roman"/>
          <w:sz w:val="24"/>
          <w:szCs w:val="24"/>
        </w:rPr>
        <w:t xml:space="preserve">serious emotional disturbance. </w:t>
      </w:r>
      <w:r w:rsidRPr="00D3097F">
        <w:rPr>
          <w:rFonts w:ascii="Times New Roman" w:hAnsi="Times New Roman"/>
          <w:sz w:val="24"/>
          <w:szCs w:val="24"/>
        </w:rPr>
        <w:t xml:space="preserve">State hospitals provide highly structured and intensive inpatient services, including psychiatric, nursing, psychological, psychosocial rehabilitation, support, and specialized programs for older adults, children and adolescents, and individuals with a forensic status.  </w:t>
      </w:r>
    </w:p>
    <w:p w14:paraId="00C5003D" w14:textId="7D636D3D" w:rsidR="006540CF" w:rsidRPr="00D3097F" w:rsidRDefault="006540CF" w:rsidP="00F46923">
      <w:pPr>
        <w:pStyle w:val="ListParagraph"/>
        <w:numPr>
          <w:ilvl w:val="0"/>
          <w:numId w:val="1"/>
        </w:numPr>
        <w:spacing w:line="240" w:lineRule="auto"/>
        <w:rPr>
          <w:rFonts w:ascii="Times New Roman" w:hAnsi="Times New Roman"/>
          <w:sz w:val="24"/>
          <w:szCs w:val="24"/>
        </w:rPr>
      </w:pPr>
      <w:r w:rsidRPr="00D3097F">
        <w:rPr>
          <w:rFonts w:ascii="Times New Roman" w:hAnsi="Times New Roman"/>
          <w:b/>
          <w:sz w:val="24"/>
          <w:szCs w:val="24"/>
        </w:rPr>
        <w:lastRenderedPageBreak/>
        <w:t xml:space="preserve">State Centers – </w:t>
      </w:r>
      <w:r w:rsidRPr="00D3097F">
        <w:rPr>
          <w:rFonts w:ascii="Times New Roman" w:hAnsi="Times New Roman"/>
          <w:sz w:val="24"/>
          <w:szCs w:val="24"/>
        </w:rPr>
        <w:t xml:space="preserve">DBHDS provides rehabilitation services at the Virginia Center for Behavioral Rehabilitation (VCBR) in Burkeville for persons determined to </w:t>
      </w:r>
      <w:r w:rsidR="00CA453E">
        <w:rPr>
          <w:rFonts w:ascii="Times New Roman" w:hAnsi="Times New Roman"/>
          <w:sz w:val="24"/>
          <w:szCs w:val="24"/>
        </w:rPr>
        <w:t xml:space="preserve">be sexually violent predators. </w:t>
      </w:r>
      <w:r w:rsidRPr="00D3097F">
        <w:rPr>
          <w:rFonts w:ascii="Times New Roman" w:hAnsi="Times New Roman"/>
          <w:sz w:val="24"/>
          <w:szCs w:val="24"/>
        </w:rPr>
        <w:t>DBHDS provides medical services at the Hiram Davis Medical Center (HDMC) in Petersburg for</w:t>
      </w:r>
      <w:r w:rsidR="00FB5115">
        <w:rPr>
          <w:rFonts w:ascii="Times New Roman" w:hAnsi="Times New Roman"/>
          <w:sz w:val="24"/>
          <w:szCs w:val="24"/>
        </w:rPr>
        <w:t xml:space="preserve"> individuals in state hospitals or other centers</w:t>
      </w:r>
      <w:r w:rsidRPr="00D3097F">
        <w:rPr>
          <w:rFonts w:ascii="Times New Roman" w:hAnsi="Times New Roman"/>
          <w:sz w:val="24"/>
          <w:szCs w:val="24"/>
        </w:rPr>
        <w:t xml:space="preserve">. </w:t>
      </w:r>
      <w:r w:rsidR="00C05106">
        <w:rPr>
          <w:rFonts w:ascii="Times New Roman" w:hAnsi="Times New Roman"/>
          <w:sz w:val="24"/>
          <w:szCs w:val="24"/>
        </w:rPr>
        <w:t xml:space="preserve">DBHDS also provides </w:t>
      </w:r>
      <w:r w:rsidR="00D03F06" w:rsidRPr="00D3097F">
        <w:rPr>
          <w:rFonts w:ascii="Times New Roman" w:hAnsi="Times New Roman"/>
          <w:sz w:val="24"/>
          <w:szCs w:val="24"/>
        </w:rPr>
        <w:t xml:space="preserve">provide highly structured habilitation </w:t>
      </w:r>
      <w:r w:rsidR="00C05106">
        <w:rPr>
          <w:rFonts w:ascii="Times New Roman" w:hAnsi="Times New Roman"/>
          <w:sz w:val="24"/>
          <w:szCs w:val="24"/>
        </w:rPr>
        <w:t xml:space="preserve">and </w:t>
      </w:r>
      <w:r w:rsidR="00D03F06" w:rsidRPr="00D3097F">
        <w:rPr>
          <w:rFonts w:ascii="Times New Roman" w:hAnsi="Times New Roman"/>
          <w:sz w:val="24"/>
          <w:szCs w:val="24"/>
        </w:rPr>
        <w:t xml:space="preserve">residential care </w:t>
      </w:r>
      <w:r w:rsidR="00C05106">
        <w:rPr>
          <w:rFonts w:ascii="Times New Roman" w:hAnsi="Times New Roman"/>
          <w:sz w:val="24"/>
          <w:szCs w:val="24"/>
        </w:rPr>
        <w:t>for individuals with intellectual disability at</w:t>
      </w:r>
      <w:r w:rsidR="00D03F06">
        <w:rPr>
          <w:rFonts w:ascii="Times New Roman" w:hAnsi="Times New Roman"/>
          <w:sz w:val="24"/>
          <w:szCs w:val="24"/>
        </w:rPr>
        <w:t xml:space="preserve"> Southeastern Virginia Training Center (SEVTC) in Chesapeake</w:t>
      </w:r>
      <w:r w:rsidR="009C3577">
        <w:rPr>
          <w:rFonts w:ascii="Times New Roman" w:hAnsi="Times New Roman"/>
          <w:sz w:val="24"/>
          <w:szCs w:val="24"/>
        </w:rPr>
        <w:t>.</w:t>
      </w:r>
    </w:p>
    <w:p w14:paraId="20A6D2B1" w14:textId="77777777" w:rsidR="006540CF" w:rsidRDefault="006540CF" w:rsidP="00F46923">
      <w:r w:rsidRPr="00990E2B">
        <w:t>The DBHDS central office provides lea</w:t>
      </w:r>
      <w:r w:rsidR="00CA453E" w:rsidRPr="00990E2B">
        <w:t xml:space="preserve">dership that promotes </w:t>
      </w:r>
      <w:r w:rsidRPr="00990E2B">
        <w:t>partnerships among CSBs and</w:t>
      </w:r>
      <w:r w:rsidR="00215327" w:rsidRPr="00990E2B">
        <w:t xml:space="preserve"> state hospitals and centers</w:t>
      </w:r>
      <w:r w:rsidRPr="00990E2B">
        <w:t xml:space="preserve"> with</w:t>
      </w:r>
      <w:r w:rsidR="00CA453E" w:rsidRPr="00990E2B">
        <w:t xml:space="preserve"> other agencies and providers. </w:t>
      </w:r>
      <w:r w:rsidRPr="00990E2B">
        <w:t xml:space="preserve">The central office supports the provision of accessible and effective services and supports by CSBs and other providers, directs the delivery of services </w:t>
      </w:r>
      <w:r w:rsidR="00215327" w:rsidRPr="00990E2B">
        <w:t>in state hospitals and centers</w:t>
      </w:r>
      <w:r w:rsidRPr="00990E2B">
        <w:t>, protects the human rights of individuals receiving services, and assures that public and private providers adhere to licensing regulations.</w:t>
      </w:r>
      <w:r>
        <w:br/>
      </w:r>
    </w:p>
    <w:p w14:paraId="2D2E8CA9" w14:textId="77777777" w:rsidR="009B5509" w:rsidRDefault="009B5509" w:rsidP="00F46923">
      <w:pPr>
        <w:rPr>
          <w:color w:val="000000"/>
        </w:rPr>
      </w:pPr>
    </w:p>
    <w:p w14:paraId="7B107CF0" w14:textId="77777777" w:rsidR="00775C3B" w:rsidRPr="003E1E80" w:rsidRDefault="00775C3B" w:rsidP="00F46923">
      <w:pPr>
        <w:rPr>
          <w:b/>
          <w:sz w:val="36"/>
          <w:szCs w:val="36"/>
        </w:rPr>
      </w:pPr>
      <w:bookmarkStart w:id="1" w:name="Individuals_Served"/>
      <w:r w:rsidRPr="003E1E80">
        <w:rPr>
          <w:b/>
          <w:sz w:val="36"/>
          <w:szCs w:val="36"/>
        </w:rPr>
        <w:t>Individuals Who Received CSB or State Facility Services</w:t>
      </w:r>
      <w:bookmarkEnd w:id="1"/>
    </w:p>
    <w:p w14:paraId="42960C4E" w14:textId="77777777" w:rsidR="00775C3B" w:rsidRPr="003E1E80" w:rsidRDefault="00775C3B" w:rsidP="00F46923">
      <w:pPr>
        <w:rPr>
          <w:color w:val="000000" w:themeColor="text1"/>
          <w:sz w:val="16"/>
          <w:szCs w:val="16"/>
        </w:rPr>
      </w:pPr>
    </w:p>
    <w:p w14:paraId="1162F5C3" w14:textId="452F5AE9" w:rsidR="00775C3B" w:rsidRDefault="003E7B54" w:rsidP="00F46923">
      <w:pPr>
        <w:rPr>
          <w:color w:val="000000" w:themeColor="text1"/>
        </w:rPr>
      </w:pPr>
      <w:r w:rsidRPr="009B5509">
        <w:rPr>
          <w:color w:val="000000" w:themeColor="text1"/>
        </w:rPr>
        <w:t>Figure 1</w:t>
      </w:r>
      <w:r w:rsidR="00775C3B" w:rsidRPr="009B5509">
        <w:rPr>
          <w:color w:val="000000" w:themeColor="text1"/>
        </w:rPr>
        <w:t xml:space="preserve"> below depicts the numbers of individuals who received services from CSBs or state hospitals and centers and the respective percentages. Ancillary services are motivational treatment, consumer monitoring, early intervention, and assessment and evaluation.</w:t>
      </w:r>
    </w:p>
    <w:p w14:paraId="44BF80F9" w14:textId="77777777" w:rsidR="00990E2B" w:rsidRPr="009B5509" w:rsidRDefault="00990E2B" w:rsidP="00F46923">
      <w:pPr>
        <w:rPr>
          <w:color w:val="000000" w:themeColor="text1"/>
        </w:rPr>
      </w:pPr>
    </w:p>
    <w:p w14:paraId="1C7B031F" w14:textId="77777777" w:rsidR="00775C3B" w:rsidRPr="009B5509" w:rsidRDefault="00775C3B" w:rsidP="00F46923">
      <w:pPr>
        <w:rPr>
          <w:color w:val="000000" w:themeColor="text1"/>
          <w:sz w:val="16"/>
          <w:szCs w:val="16"/>
        </w:rPr>
      </w:pPr>
    </w:p>
    <w:p w14:paraId="36338877" w14:textId="77777777" w:rsidR="00775C3B" w:rsidRPr="009B5509" w:rsidRDefault="00775C3B" w:rsidP="00F46923">
      <w:pPr>
        <w:jc w:val="center"/>
        <w:rPr>
          <w:color w:val="000000" w:themeColor="text1"/>
        </w:rPr>
      </w:pPr>
      <w:r w:rsidRPr="009B5509">
        <w:rPr>
          <w:noProof/>
          <w:color w:val="000000" w:themeColor="text1"/>
        </w:rPr>
        <w:drawing>
          <wp:inline distT="0" distB="0" distL="0" distR="0" wp14:anchorId="16DF84E1" wp14:editId="190E9F90">
            <wp:extent cx="5391150" cy="2637750"/>
            <wp:effectExtent l="0" t="0" r="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070CA7" w14:textId="77777777" w:rsidR="00775C3B" w:rsidRPr="009B5509" w:rsidRDefault="00775C3B" w:rsidP="00F46923">
      <w:pPr>
        <w:rPr>
          <w:i/>
          <w:sz w:val="10"/>
          <w:szCs w:val="10"/>
        </w:rPr>
      </w:pPr>
    </w:p>
    <w:p w14:paraId="137D5131" w14:textId="49354A63" w:rsidR="00775C3B" w:rsidRPr="009B5509" w:rsidRDefault="00775C3B" w:rsidP="005528D6">
      <w:pPr>
        <w:ind w:left="450" w:right="450"/>
        <w:rPr>
          <w:i/>
          <w:sz w:val="18"/>
          <w:szCs w:val="18"/>
        </w:rPr>
      </w:pPr>
      <w:r w:rsidRPr="009B5509">
        <w:rPr>
          <w:b/>
          <w:i/>
          <w:sz w:val="18"/>
          <w:szCs w:val="18"/>
        </w:rPr>
        <w:t>Notes:</w:t>
      </w:r>
      <w:r w:rsidRPr="009B5509">
        <w:rPr>
          <w:i/>
          <w:sz w:val="18"/>
          <w:szCs w:val="18"/>
        </w:rPr>
        <w:t xml:space="preserve"> 1) The DBHDS data warehouse identifies uniquely each individual who receives services. These are unduplicated: If someone received services at more than one CSB or at CSBs and state facilities, the individual is counted once. 2) Individuals in Figure 1 total more than the unduplicated number of </w:t>
      </w:r>
      <w:r w:rsidR="00461F20" w:rsidRPr="009B5509">
        <w:rPr>
          <w:i/>
          <w:sz w:val="18"/>
          <w:szCs w:val="18"/>
        </w:rPr>
        <w:t>210,947</w:t>
      </w:r>
      <w:r w:rsidRPr="009B5509">
        <w:rPr>
          <w:i/>
          <w:sz w:val="18"/>
          <w:szCs w:val="18"/>
        </w:rPr>
        <w:t xml:space="preserve">individuals because many received services in multiple areas.  </w:t>
      </w:r>
    </w:p>
    <w:p w14:paraId="49A07547" w14:textId="77777777" w:rsidR="00775C3B" w:rsidRPr="009B5509" w:rsidRDefault="00775C3B" w:rsidP="00F46923">
      <w:pPr>
        <w:rPr>
          <w:i/>
          <w:sz w:val="20"/>
          <w:szCs w:val="20"/>
        </w:rPr>
      </w:pPr>
    </w:p>
    <w:p w14:paraId="0208483E" w14:textId="77777777" w:rsidR="009B5509" w:rsidRDefault="009B5509" w:rsidP="00F46923"/>
    <w:p w14:paraId="21C5B5B2" w14:textId="77777777" w:rsidR="00DB2DC2" w:rsidRDefault="00DB2DC2" w:rsidP="00F46923"/>
    <w:p w14:paraId="57148CE5" w14:textId="77777777" w:rsidR="00DB2DC2" w:rsidRDefault="00DB2DC2" w:rsidP="00F46923"/>
    <w:p w14:paraId="7BC29C0C" w14:textId="77777777" w:rsidR="00DB2DC2" w:rsidRDefault="00DB2DC2" w:rsidP="00F46923"/>
    <w:p w14:paraId="5D6CED5F" w14:textId="77777777" w:rsidR="00DB2DC2" w:rsidRDefault="00DB2DC2" w:rsidP="00F46923"/>
    <w:p w14:paraId="1626AE28" w14:textId="77777777" w:rsidR="00DB2DC2" w:rsidRDefault="00DB2DC2" w:rsidP="00F46923"/>
    <w:p w14:paraId="7EAD88A6" w14:textId="77777777" w:rsidR="00DB2DC2" w:rsidRDefault="00DB2DC2" w:rsidP="00F46923"/>
    <w:p w14:paraId="50972BDE" w14:textId="3F62E816" w:rsidR="00534E96" w:rsidRPr="00DB2DC2" w:rsidRDefault="00775C3B" w:rsidP="00F46923">
      <w:r w:rsidRPr="009B5509">
        <w:t xml:space="preserve">Figure 2, below, shows the individuals who received services in each core service from CSBs or state facilities. It displays numbers for emergency and ancillary services and for the mental health </w:t>
      </w:r>
      <w:r w:rsidRPr="009B5509">
        <w:rPr>
          <w:color w:val="000000"/>
        </w:rPr>
        <w:t>(MH)</w:t>
      </w:r>
      <w:r w:rsidRPr="009B5509">
        <w:t xml:space="preserve">, developmental </w:t>
      </w:r>
      <w:r w:rsidRPr="009B5509">
        <w:rPr>
          <w:color w:val="000000"/>
        </w:rPr>
        <w:t>(</w:t>
      </w:r>
      <w:r w:rsidR="00A848C5">
        <w:rPr>
          <w:color w:val="000000"/>
        </w:rPr>
        <w:t>DD</w:t>
      </w:r>
      <w:r w:rsidRPr="009B5509">
        <w:rPr>
          <w:color w:val="000000"/>
        </w:rPr>
        <w:t>)</w:t>
      </w:r>
      <w:r w:rsidRPr="009B5509">
        <w:t xml:space="preserve">, and substance use disorder </w:t>
      </w:r>
      <w:r w:rsidRPr="009B5509">
        <w:rPr>
          <w:color w:val="000000"/>
        </w:rPr>
        <w:t xml:space="preserve">(SUD) </w:t>
      </w:r>
      <w:r w:rsidRPr="009B5509">
        <w:t>services program areas, and the total numbers of individuals receiving a core service across the three program areas.</w:t>
      </w:r>
      <w:r w:rsidRPr="00B46CB8">
        <w:t xml:space="preserve"> </w:t>
      </w:r>
    </w:p>
    <w:tbl>
      <w:tblPr>
        <w:tblpPr w:leftFromText="180" w:rightFromText="180" w:vertAnchor="page" w:horzAnchor="margin" w:tblpY="3061"/>
        <w:tblW w:w="93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9" w:type="dxa"/>
          <w:right w:w="29" w:type="dxa"/>
        </w:tblCellMar>
        <w:tblLook w:val="00A0" w:firstRow="1" w:lastRow="0" w:firstColumn="1" w:lastColumn="0" w:noHBand="0" w:noVBand="0"/>
      </w:tblPr>
      <w:tblGrid>
        <w:gridCol w:w="3989"/>
        <w:gridCol w:w="1080"/>
        <w:gridCol w:w="1080"/>
        <w:gridCol w:w="1080"/>
        <w:gridCol w:w="1080"/>
        <w:gridCol w:w="1051"/>
      </w:tblGrid>
      <w:tr w:rsidR="00DB2DC2" w:rsidRPr="00381DAD" w14:paraId="4960865E" w14:textId="77777777" w:rsidTr="005528D6">
        <w:tc>
          <w:tcPr>
            <w:tcW w:w="9360" w:type="dxa"/>
            <w:gridSpan w:val="6"/>
            <w:vAlign w:val="center"/>
          </w:tcPr>
          <w:p w14:paraId="1E3098BE" w14:textId="77777777" w:rsidR="00DB2DC2" w:rsidRPr="00F047E1" w:rsidRDefault="00DB2DC2" w:rsidP="005528D6">
            <w:pPr>
              <w:ind w:left="144" w:hanging="144"/>
              <w:jc w:val="center"/>
              <w:rPr>
                <w:rFonts w:ascii="Calibri" w:hAnsi="Calibri" w:cs="Calibri"/>
                <w:sz w:val="20"/>
                <w:szCs w:val="20"/>
              </w:rPr>
            </w:pPr>
            <w:r w:rsidRPr="00F047E1">
              <w:rPr>
                <w:rFonts w:ascii="Calibri" w:hAnsi="Calibri" w:cs="Calibri"/>
                <w:sz w:val="20"/>
                <w:szCs w:val="20"/>
              </w:rPr>
              <w:br w:type="page"/>
            </w:r>
            <w:r w:rsidRPr="009B5509">
              <w:rPr>
                <w:rFonts w:ascii="Calibri" w:hAnsi="Calibri" w:cs="Calibri"/>
                <w:b/>
                <w:color w:val="365F91" w:themeColor="accent1" w:themeShade="BF"/>
                <w:sz w:val="20"/>
                <w:szCs w:val="20"/>
              </w:rPr>
              <w:t>Figure 2:</w:t>
            </w:r>
            <w:r w:rsidRPr="00F047E1">
              <w:rPr>
                <w:rFonts w:ascii="Calibri" w:hAnsi="Calibri" w:cs="Calibri"/>
                <w:b/>
                <w:color w:val="365F91" w:themeColor="accent1" w:themeShade="BF"/>
                <w:sz w:val="20"/>
                <w:szCs w:val="20"/>
              </w:rPr>
              <w:t xml:space="preserve"> Individuals Who Received CSB or State Facility Services in FY 202</w:t>
            </w:r>
            <w:r>
              <w:rPr>
                <w:rFonts w:ascii="Calibri" w:hAnsi="Calibri" w:cs="Calibri"/>
                <w:b/>
                <w:color w:val="365F91" w:themeColor="accent1" w:themeShade="BF"/>
                <w:sz w:val="20"/>
                <w:szCs w:val="20"/>
              </w:rPr>
              <w:t>2</w:t>
            </w:r>
          </w:p>
        </w:tc>
      </w:tr>
      <w:tr w:rsidR="00DB2DC2" w:rsidRPr="00381DAD" w14:paraId="54721DFC" w14:textId="77777777" w:rsidTr="005528D6">
        <w:tc>
          <w:tcPr>
            <w:tcW w:w="3989" w:type="dxa"/>
            <w:vAlign w:val="center"/>
          </w:tcPr>
          <w:p w14:paraId="170F99B8" w14:textId="77777777" w:rsidR="00DB2DC2" w:rsidRPr="009B5509" w:rsidRDefault="00DB2DC2" w:rsidP="005528D6">
            <w:pPr>
              <w:rPr>
                <w:rFonts w:ascii="Calibri" w:hAnsi="Calibri" w:cs="Calibri"/>
                <w:b/>
                <w:sz w:val="20"/>
                <w:szCs w:val="20"/>
              </w:rPr>
            </w:pPr>
            <w:r w:rsidRPr="009B5509">
              <w:rPr>
                <w:rFonts w:ascii="Calibri" w:hAnsi="Calibri" w:cs="Calibri"/>
                <w:b/>
                <w:sz w:val="20"/>
                <w:szCs w:val="20"/>
              </w:rPr>
              <w:t>Total Emergency Services</w:t>
            </w:r>
          </w:p>
        </w:tc>
        <w:tc>
          <w:tcPr>
            <w:tcW w:w="1080" w:type="dxa"/>
            <w:vAlign w:val="center"/>
          </w:tcPr>
          <w:p w14:paraId="4C88EBF4"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52,543</w:t>
            </w:r>
          </w:p>
        </w:tc>
        <w:tc>
          <w:tcPr>
            <w:tcW w:w="4291" w:type="dxa"/>
            <w:gridSpan w:val="4"/>
            <w:vMerge w:val="restart"/>
            <w:shd w:val="clear" w:color="auto" w:fill="auto"/>
            <w:vAlign w:val="center"/>
          </w:tcPr>
          <w:p w14:paraId="3BD0CDC0" w14:textId="77777777" w:rsidR="00DB2DC2" w:rsidRPr="009B5509" w:rsidRDefault="00DB2DC2" w:rsidP="005528D6">
            <w:pPr>
              <w:ind w:left="72"/>
              <w:rPr>
                <w:rFonts w:ascii="Calibri" w:hAnsi="Calibri" w:cs="Calibri"/>
                <w:sz w:val="20"/>
                <w:szCs w:val="20"/>
                <w:highlight w:val="cyan"/>
              </w:rPr>
            </w:pPr>
            <w:r w:rsidRPr="009B5509">
              <w:rPr>
                <w:rFonts w:ascii="Calibri" w:hAnsi="Calibri" w:cs="Calibri"/>
                <w:sz w:val="20"/>
                <w:szCs w:val="20"/>
              </w:rPr>
              <w:t>Community Consumer Submission 3 (CCS 3) does not include data on individuals in consumer-run services, so other tables do not include them.  CARS collects a count of participants; in this FY, 4,478 individuals participated in these services.</w:t>
            </w:r>
          </w:p>
        </w:tc>
      </w:tr>
      <w:tr w:rsidR="00DB2DC2" w:rsidRPr="00381DAD" w14:paraId="5CFBB58B" w14:textId="77777777" w:rsidTr="005528D6">
        <w:tc>
          <w:tcPr>
            <w:tcW w:w="3989" w:type="dxa"/>
            <w:vAlign w:val="center"/>
          </w:tcPr>
          <w:p w14:paraId="38F52137"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Motivational Treatment Services</w:t>
            </w:r>
          </w:p>
        </w:tc>
        <w:tc>
          <w:tcPr>
            <w:tcW w:w="1080" w:type="dxa"/>
          </w:tcPr>
          <w:p w14:paraId="2F081E90"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2,281 </w:t>
            </w:r>
          </w:p>
        </w:tc>
        <w:tc>
          <w:tcPr>
            <w:tcW w:w="4291" w:type="dxa"/>
            <w:gridSpan w:val="4"/>
            <w:vMerge/>
            <w:shd w:val="clear" w:color="auto" w:fill="auto"/>
            <w:vAlign w:val="center"/>
          </w:tcPr>
          <w:p w14:paraId="65893D26" w14:textId="77777777" w:rsidR="00DB2DC2" w:rsidRPr="009B5509" w:rsidRDefault="00DB2DC2" w:rsidP="005528D6">
            <w:pPr>
              <w:rPr>
                <w:rFonts w:ascii="Calibri" w:hAnsi="Calibri" w:cs="Calibri"/>
                <w:sz w:val="20"/>
                <w:szCs w:val="20"/>
                <w:highlight w:val="cyan"/>
              </w:rPr>
            </w:pPr>
          </w:p>
        </w:tc>
      </w:tr>
      <w:tr w:rsidR="00DB2DC2" w:rsidRPr="00381DAD" w14:paraId="7E2B44D4" w14:textId="77777777" w:rsidTr="005528D6">
        <w:tc>
          <w:tcPr>
            <w:tcW w:w="3989" w:type="dxa"/>
            <w:vAlign w:val="center"/>
          </w:tcPr>
          <w:p w14:paraId="3F706E10"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Consumer Monitoring Services</w:t>
            </w:r>
          </w:p>
        </w:tc>
        <w:tc>
          <w:tcPr>
            <w:tcW w:w="1080" w:type="dxa"/>
          </w:tcPr>
          <w:p w14:paraId="573B2A1D"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16,061 </w:t>
            </w:r>
          </w:p>
        </w:tc>
        <w:tc>
          <w:tcPr>
            <w:tcW w:w="4291" w:type="dxa"/>
            <w:gridSpan w:val="4"/>
            <w:vMerge/>
            <w:shd w:val="clear" w:color="auto" w:fill="auto"/>
            <w:vAlign w:val="center"/>
          </w:tcPr>
          <w:p w14:paraId="13CB6D42" w14:textId="77777777" w:rsidR="00DB2DC2" w:rsidRPr="009B5509" w:rsidRDefault="00DB2DC2" w:rsidP="005528D6">
            <w:pPr>
              <w:rPr>
                <w:rFonts w:ascii="Calibri" w:hAnsi="Calibri" w:cs="Calibri"/>
                <w:sz w:val="20"/>
                <w:szCs w:val="20"/>
                <w:highlight w:val="cyan"/>
              </w:rPr>
            </w:pPr>
          </w:p>
        </w:tc>
      </w:tr>
      <w:tr w:rsidR="00DB2DC2" w:rsidRPr="00381DAD" w14:paraId="1207318D" w14:textId="77777777" w:rsidTr="005528D6">
        <w:tc>
          <w:tcPr>
            <w:tcW w:w="3989" w:type="dxa"/>
            <w:vAlign w:val="center"/>
          </w:tcPr>
          <w:p w14:paraId="5CFC80A2"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Early Intervention Services</w:t>
            </w:r>
          </w:p>
        </w:tc>
        <w:tc>
          <w:tcPr>
            <w:tcW w:w="1080" w:type="dxa"/>
          </w:tcPr>
          <w:p w14:paraId="5DDFBE5C"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1,997 </w:t>
            </w:r>
          </w:p>
        </w:tc>
        <w:tc>
          <w:tcPr>
            <w:tcW w:w="4291" w:type="dxa"/>
            <w:gridSpan w:val="4"/>
            <w:vMerge/>
            <w:shd w:val="clear" w:color="auto" w:fill="auto"/>
            <w:vAlign w:val="center"/>
          </w:tcPr>
          <w:p w14:paraId="6B96C4C2" w14:textId="77777777" w:rsidR="00DB2DC2" w:rsidRPr="009B5509" w:rsidRDefault="00DB2DC2" w:rsidP="005528D6">
            <w:pPr>
              <w:rPr>
                <w:rFonts w:ascii="Calibri" w:hAnsi="Calibri" w:cs="Calibri"/>
                <w:sz w:val="20"/>
                <w:szCs w:val="20"/>
                <w:highlight w:val="cyan"/>
              </w:rPr>
            </w:pPr>
          </w:p>
        </w:tc>
      </w:tr>
      <w:tr w:rsidR="00DB2DC2" w:rsidRPr="00381DAD" w14:paraId="789416E5" w14:textId="77777777" w:rsidTr="005528D6">
        <w:tc>
          <w:tcPr>
            <w:tcW w:w="3989" w:type="dxa"/>
            <w:vAlign w:val="center"/>
          </w:tcPr>
          <w:p w14:paraId="3904B76E"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Assessment and Evaluation Services</w:t>
            </w:r>
          </w:p>
        </w:tc>
        <w:tc>
          <w:tcPr>
            <w:tcW w:w="1080" w:type="dxa"/>
          </w:tcPr>
          <w:p w14:paraId="04FDBC33"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81,183 </w:t>
            </w:r>
          </w:p>
        </w:tc>
        <w:tc>
          <w:tcPr>
            <w:tcW w:w="4291" w:type="dxa"/>
            <w:gridSpan w:val="4"/>
            <w:vMerge/>
            <w:shd w:val="clear" w:color="auto" w:fill="auto"/>
            <w:vAlign w:val="center"/>
          </w:tcPr>
          <w:p w14:paraId="15299DB6" w14:textId="77777777" w:rsidR="00DB2DC2" w:rsidRPr="009B5509" w:rsidRDefault="00DB2DC2" w:rsidP="005528D6">
            <w:pPr>
              <w:rPr>
                <w:rFonts w:ascii="Calibri" w:hAnsi="Calibri" w:cs="Calibri"/>
                <w:sz w:val="20"/>
                <w:szCs w:val="20"/>
                <w:highlight w:val="cyan"/>
              </w:rPr>
            </w:pPr>
          </w:p>
        </w:tc>
      </w:tr>
      <w:tr w:rsidR="00DB2DC2" w:rsidRPr="00381DAD" w14:paraId="6FBFFBAD" w14:textId="77777777" w:rsidTr="005528D6">
        <w:tc>
          <w:tcPr>
            <w:tcW w:w="3989" w:type="dxa"/>
            <w:vAlign w:val="center"/>
          </w:tcPr>
          <w:p w14:paraId="643F4FD7" w14:textId="77777777" w:rsidR="00DB2DC2" w:rsidRPr="009B5509" w:rsidRDefault="00DB2DC2" w:rsidP="005528D6">
            <w:pPr>
              <w:rPr>
                <w:rFonts w:ascii="Calibri" w:hAnsi="Calibri" w:cs="Calibri"/>
                <w:b/>
                <w:sz w:val="20"/>
                <w:szCs w:val="20"/>
              </w:rPr>
            </w:pPr>
            <w:r w:rsidRPr="009B5509">
              <w:rPr>
                <w:rFonts w:ascii="Calibri" w:hAnsi="Calibri" w:cs="Calibri"/>
                <w:b/>
                <w:sz w:val="20"/>
                <w:szCs w:val="20"/>
              </w:rPr>
              <w:t>Total Ancillary Services</w:t>
            </w:r>
            <w:r w:rsidRPr="009B5509">
              <w:rPr>
                <w:rFonts w:ascii="Calibri" w:hAnsi="Calibri" w:cs="Calibri"/>
                <w:b/>
                <w:sz w:val="20"/>
                <w:szCs w:val="20"/>
                <w:vertAlign w:val="superscript"/>
              </w:rPr>
              <w:t>1</w:t>
            </w:r>
          </w:p>
        </w:tc>
        <w:tc>
          <w:tcPr>
            <w:tcW w:w="1080" w:type="dxa"/>
            <w:vAlign w:val="center"/>
          </w:tcPr>
          <w:p w14:paraId="6BE6E6A9"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94,898</w:t>
            </w:r>
          </w:p>
        </w:tc>
        <w:tc>
          <w:tcPr>
            <w:tcW w:w="4291" w:type="dxa"/>
            <w:gridSpan w:val="4"/>
            <w:vMerge/>
            <w:shd w:val="clear" w:color="auto" w:fill="auto"/>
            <w:vAlign w:val="center"/>
          </w:tcPr>
          <w:p w14:paraId="142BCF64" w14:textId="77777777" w:rsidR="00DB2DC2" w:rsidRPr="009B5509" w:rsidRDefault="00DB2DC2" w:rsidP="005528D6">
            <w:pPr>
              <w:rPr>
                <w:rFonts w:ascii="Calibri" w:hAnsi="Calibri" w:cs="Calibri"/>
                <w:sz w:val="20"/>
                <w:szCs w:val="20"/>
                <w:highlight w:val="cyan"/>
              </w:rPr>
            </w:pPr>
          </w:p>
        </w:tc>
      </w:tr>
      <w:tr w:rsidR="00DB2DC2" w:rsidRPr="00381DAD" w14:paraId="7EF30A76" w14:textId="77777777" w:rsidTr="005528D6">
        <w:trPr>
          <w:trHeight w:hRule="exact" w:val="72"/>
        </w:trPr>
        <w:tc>
          <w:tcPr>
            <w:tcW w:w="9360" w:type="dxa"/>
            <w:gridSpan w:val="6"/>
            <w:shd w:val="pct40" w:color="auto" w:fill="auto"/>
            <w:vAlign w:val="center"/>
          </w:tcPr>
          <w:p w14:paraId="33271F93" w14:textId="77777777" w:rsidR="00DB2DC2" w:rsidRPr="009B5509" w:rsidRDefault="00DB2DC2" w:rsidP="005528D6">
            <w:pPr>
              <w:jc w:val="center"/>
              <w:rPr>
                <w:rFonts w:ascii="Calibri" w:hAnsi="Calibri" w:cs="Calibri"/>
                <w:b/>
                <w:sz w:val="20"/>
                <w:szCs w:val="20"/>
                <w:highlight w:val="cyan"/>
              </w:rPr>
            </w:pPr>
          </w:p>
        </w:tc>
      </w:tr>
      <w:tr w:rsidR="00DB2DC2" w:rsidRPr="00381DAD" w14:paraId="04996BE9" w14:textId="77777777" w:rsidTr="005528D6">
        <w:tc>
          <w:tcPr>
            <w:tcW w:w="5069" w:type="dxa"/>
            <w:gridSpan w:val="2"/>
            <w:vAlign w:val="center"/>
          </w:tcPr>
          <w:p w14:paraId="4CE55CAF" w14:textId="77777777" w:rsidR="00DB2DC2" w:rsidRPr="009B5509" w:rsidRDefault="00DB2DC2" w:rsidP="005528D6">
            <w:pPr>
              <w:rPr>
                <w:rFonts w:ascii="Calibri" w:hAnsi="Calibri" w:cs="Calibri"/>
                <w:sz w:val="20"/>
                <w:szCs w:val="20"/>
              </w:rPr>
            </w:pPr>
            <w:r w:rsidRPr="009B5509">
              <w:rPr>
                <w:rFonts w:ascii="Calibri" w:hAnsi="Calibri" w:cs="Calibri"/>
                <w:b/>
                <w:sz w:val="20"/>
                <w:szCs w:val="20"/>
              </w:rPr>
              <w:t>Services Available in Program Areas</w:t>
            </w:r>
            <w:r w:rsidRPr="009B5509">
              <w:rPr>
                <w:rFonts w:ascii="Calibri" w:hAnsi="Calibri" w:cs="Calibri"/>
                <w:b/>
                <w:sz w:val="20"/>
                <w:szCs w:val="20"/>
                <w:vertAlign w:val="superscript"/>
              </w:rPr>
              <w:t>1</w:t>
            </w:r>
          </w:p>
        </w:tc>
        <w:tc>
          <w:tcPr>
            <w:tcW w:w="1080" w:type="dxa"/>
            <w:vAlign w:val="center"/>
          </w:tcPr>
          <w:p w14:paraId="16217D51" w14:textId="77777777" w:rsidR="00DB2DC2" w:rsidRPr="009B5509" w:rsidRDefault="00DB2DC2" w:rsidP="005528D6">
            <w:pPr>
              <w:jc w:val="center"/>
              <w:rPr>
                <w:rFonts w:ascii="Calibri" w:hAnsi="Calibri" w:cs="Calibri"/>
                <w:sz w:val="20"/>
                <w:szCs w:val="20"/>
              </w:rPr>
            </w:pPr>
            <w:r w:rsidRPr="009B5509">
              <w:rPr>
                <w:rFonts w:ascii="Calibri" w:hAnsi="Calibri" w:cs="Calibri"/>
                <w:b/>
                <w:sz w:val="20"/>
                <w:szCs w:val="20"/>
              </w:rPr>
              <w:t>MH</w:t>
            </w:r>
          </w:p>
        </w:tc>
        <w:tc>
          <w:tcPr>
            <w:tcW w:w="1080" w:type="dxa"/>
            <w:shd w:val="clear" w:color="auto" w:fill="auto"/>
            <w:vAlign w:val="center"/>
          </w:tcPr>
          <w:p w14:paraId="1DD15ACE" w14:textId="78123900" w:rsidR="00DB2DC2" w:rsidRPr="009B5509" w:rsidRDefault="00A848C5" w:rsidP="005528D6">
            <w:pPr>
              <w:jc w:val="center"/>
              <w:rPr>
                <w:rFonts w:ascii="Calibri" w:hAnsi="Calibri" w:cs="Calibri"/>
                <w:b/>
                <w:sz w:val="20"/>
                <w:szCs w:val="20"/>
              </w:rPr>
            </w:pPr>
            <w:r>
              <w:rPr>
                <w:rFonts w:ascii="Calibri" w:hAnsi="Calibri" w:cs="Calibri"/>
                <w:b/>
                <w:sz w:val="20"/>
                <w:szCs w:val="20"/>
              </w:rPr>
              <w:t>DD</w:t>
            </w:r>
          </w:p>
        </w:tc>
        <w:tc>
          <w:tcPr>
            <w:tcW w:w="1080" w:type="dxa"/>
            <w:shd w:val="clear" w:color="auto" w:fill="auto"/>
            <w:vAlign w:val="center"/>
          </w:tcPr>
          <w:p w14:paraId="0395442A" w14:textId="77777777" w:rsidR="00DB2DC2" w:rsidRPr="009B5509" w:rsidRDefault="00DB2DC2" w:rsidP="005528D6">
            <w:pPr>
              <w:jc w:val="center"/>
              <w:rPr>
                <w:rFonts w:ascii="Calibri" w:hAnsi="Calibri" w:cs="Calibri"/>
                <w:b/>
                <w:sz w:val="20"/>
                <w:szCs w:val="20"/>
              </w:rPr>
            </w:pPr>
            <w:r w:rsidRPr="009B5509">
              <w:rPr>
                <w:rFonts w:ascii="Calibri" w:hAnsi="Calibri" w:cs="Calibri"/>
                <w:b/>
                <w:sz w:val="20"/>
                <w:szCs w:val="20"/>
              </w:rPr>
              <w:t>SUD</w:t>
            </w:r>
          </w:p>
        </w:tc>
        <w:tc>
          <w:tcPr>
            <w:tcW w:w="1051" w:type="dxa"/>
            <w:shd w:val="clear" w:color="auto" w:fill="auto"/>
            <w:vAlign w:val="center"/>
          </w:tcPr>
          <w:p w14:paraId="1064C2FF" w14:textId="77777777" w:rsidR="00DB2DC2" w:rsidRPr="009B5509" w:rsidRDefault="00DB2DC2" w:rsidP="005528D6">
            <w:pPr>
              <w:jc w:val="center"/>
              <w:rPr>
                <w:rFonts w:ascii="Calibri" w:hAnsi="Calibri" w:cs="Calibri"/>
                <w:b/>
                <w:sz w:val="20"/>
                <w:szCs w:val="20"/>
              </w:rPr>
            </w:pPr>
            <w:r w:rsidRPr="009B5509">
              <w:rPr>
                <w:rFonts w:ascii="Calibri" w:hAnsi="Calibri" w:cs="Calibri"/>
                <w:b/>
                <w:sz w:val="20"/>
                <w:szCs w:val="20"/>
              </w:rPr>
              <w:t>Total</w:t>
            </w:r>
            <w:r w:rsidRPr="009B5509">
              <w:rPr>
                <w:rFonts w:ascii="Calibri" w:hAnsi="Calibri" w:cs="Calibri"/>
                <w:b/>
                <w:sz w:val="20"/>
                <w:szCs w:val="20"/>
                <w:vertAlign w:val="superscript"/>
              </w:rPr>
              <w:t>2</w:t>
            </w:r>
          </w:p>
        </w:tc>
      </w:tr>
      <w:tr w:rsidR="00DB2DC2" w:rsidRPr="00381DAD" w14:paraId="5FA74F03" w14:textId="77777777" w:rsidTr="005528D6">
        <w:tc>
          <w:tcPr>
            <w:tcW w:w="5069" w:type="dxa"/>
            <w:gridSpan w:val="2"/>
            <w:vAlign w:val="center"/>
          </w:tcPr>
          <w:p w14:paraId="0CCD70C3"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Training Center ICF/ID Services</w:t>
            </w:r>
          </w:p>
        </w:tc>
        <w:tc>
          <w:tcPr>
            <w:tcW w:w="1080" w:type="dxa"/>
            <w:shd w:val="pct25" w:color="auto" w:fill="FFFFFF"/>
            <w:vAlign w:val="center"/>
          </w:tcPr>
          <w:p w14:paraId="406B9546" w14:textId="77777777" w:rsidR="00DB2DC2" w:rsidRPr="009B5509" w:rsidRDefault="00DB2DC2" w:rsidP="005528D6">
            <w:pPr>
              <w:jc w:val="right"/>
              <w:rPr>
                <w:rFonts w:ascii="Calibri" w:hAnsi="Calibri" w:cs="Calibri"/>
                <w:sz w:val="20"/>
                <w:szCs w:val="20"/>
              </w:rPr>
            </w:pPr>
          </w:p>
        </w:tc>
        <w:tc>
          <w:tcPr>
            <w:tcW w:w="1080" w:type="dxa"/>
            <w:vAlign w:val="center"/>
          </w:tcPr>
          <w:p w14:paraId="7A4A6D40"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72</w:t>
            </w:r>
          </w:p>
        </w:tc>
        <w:tc>
          <w:tcPr>
            <w:tcW w:w="1080" w:type="dxa"/>
            <w:vMerge w:val="restart"/>
            <w:shd w:val="pct25" w:color="auto" w:fill="FFFFFF"/>
            <w:vAlign w:val="center"/>
          </w:tcPr>
          <w:p w14:paraId="144E33C1" w14:textId="77777777" w:rsidR="00DB2DC2" w:rsidRPr="009B5509" w:rsidRDefault="00DB2DC2" w:rsidP="005528D6">
            <w:pPr>
              <w:jc w:val="right"/>
              <w:rPr>
                <w:rFonts w:ascii="Calibri" w:hAnsi="Calibri" w:cs="Calibri"/>
                <w:sz w:val="20"/>
                <w:szCs w:val="20"/>
              </w:rPr>
            </w:pPr>
          </w:p>
        </w:tc>
        <w:tc>
          <w:tcPr>
            <w:tcW w:w="1051" w:type="dxa"/>
            <w:shd w:val="clear" w:color="auto" w:fill="auto"/>
            <w:vAlign w:val="center"/>
          </w:tcPr>
          <w:p w14:paraId="17241E33"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72</w:t>
            </w:r>
          </w:p>
        </w:tc>
      </w:tr>
      <w:tr w:rsidR="00DB2DC2" w:rsidRPr="00381DAD" w14:paraId="79BD932A" w14:textId="77777777" w:rsidTr="005528D6">
        <w:tc>
          <w:tcPr>
            <w:tcW w:w="5069" w:type="dxa"/>
            <w:gridSpan w:val="2"/>
            <w:vAlign w:val="center"/>
          </w:tcPr>
          <w:p w14:paraId="308F00AE"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 xml:space="preserve">State Hospital ICF/Geriatric Services </w:t>
            </w:r>
          </w:p>
        </w:tc>
        <w:tc>
          <w:tcPr>
            <w:tcW w:w="1080" w:type="dxa"/>
            <w:vAlign w:val="center"/>
          </w:tcPr>
          <w:p w14:paraId="7919DDD6"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405</w:t>
            </w:r>
          </w:p>
        </w:tc>
        <w:tc>
          <w:tcPr>
            <w:tcW w:w="1080" w:type="dxa"/>
            <w:vMerge w:val="restart"/>
            <w:shd w:val="pct25" w:color="auto" w:fill="auto"/>
            <w:vAlign w:val="center"/>
          </w:tcPr>
          <w:p w14:paraId="706057A5" w14:textId="77777777" w:rsidR="00DB2DC2" w:rsidRPr="009B5509" w:rsidRDefault="00DB2DC2" w:rsidP="005528D6">
            <w:pPr>
              <w:jc w:val="right"/>
              <w:rPr>
                <w:rFonts w:ascii="Calibri" w:hAnsi="Calibri" w:cs="Calibri"/>
                <w:sz w:val="20"/>
                <w:szCs w:val="20"/>
              </w:rPr>
            </w:pPr>
          </w:p>
        </w:tc>
        <w:tc>
          <w:tcPr>
            <w:tcW w:w="1080" w:type="dxa"/>
            <w:vMerge/>
            <w:shd w:val="pct25" w:color="auto" w:fill="FFFFFF"/>
            <w:vAlign w:val="center"/>
          </w:tcPr>
          <w:p w14:paraId="3B0F4D5A" w14:textId="77777777" w:rsidR="00DB2DC2" w:rsidRPr="009B5509" w:rsidRDefault="00DB2DC2" w:rsidP="005528D6">
            <w:pPr>
              <w:jc w:val="right"/>
              <w:rPr>
                <w:rFonts w:ascii="Calibri" w:hAnsi="Calibri" w:cs="Calibri"/>
                <w:sz w:val="20"/>
                <w:szCs w:val="20"/>
              </w:rPr>
            </w:pPr>
          </w:p>
        </w:tc>
        <w:tc>
          <w:tcPr>
            <w:tcW w:w="1051" w:type="dxa"/>
            <w:shd w:val="clear" w:color="auto" w:fill="auto"/>
            <w:vAlign w:val="center"/>
          </w:tcPr>
          <w:p w14:paraId="55174BA3"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405</w:t>
            </w:r>
          </w:p>
        </w:tc>
      </w:tr>
      <w:tr w:rsidR="00DB2DC2" w:rsidRPr="00381DAD" w14:paraId="06A30238" w14:textId="77777777" w:rsidTr="005528D6">
        <w:tc>
          <w:tcPr>
            <w:tcW w:w="5069" w:type="dxa"/>
            <w:gridSpan w:val="2"/>
            <w:vAlign w:val="center"/>
          </w:tcPr>
          <w:p w14:paraId="78C3A21F"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CSB MH or SUD Inpatient Services (LIPOS)</w:t>
            </w:r>
          </w:p>
        </w:tc>
        <w:tc>
          <w:tcPr>
            <w:tcW w:w="1080" w:type="dxa"/>
            <w:vAlign w:val="center"/>
          </w:tcPr>
          <w:p w14:paraId="042F86D0"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882</w:t>
            </w:r>
          </w:p>
        </w:tc>
        <w:tc>
          <w:tcPr>
            <w:tcW w:w="1080" w:type="dxa"/>
            <w:vMerge/>
            <w:shd w:val="pct25" w:color="auto" w:fill="auto"/>
            <w:vAlign w:val="center"/>
          </w:tcPr>
          <w:p w14:paraId="2E537D4E" w14:textId="77777777" w:rsidR="00DB2DC2" w:rsidRPr="009B5509" w:rsidRDefault="00DB2DC2" w:rsidP="005528D6">
            <w:pPr>
              <w:jc w:val="right"/>
              <w:rPr>
                <w:rFonts w:ascii="Calibri" w:hAnsi="Calibri" w:cs="Calibri"/>
                <w:sz w:val="20"/>
                <w:szCs w:val="20"/>
              </w:rPr>
            </w:pPr>
          </w:p>
        </w:tc>
        <w:tc>
          <w:tcPr>
            <w:tcW w:w="1080" w:type="dxa"/>
            <w:vAlign w:val="center"/>
          </w:tcPr>
          <w:p w14:paraId="53FAE576"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54 </w:t>
            </w:r>
          </w:p>
        </w:tc>
        <w:tc>
          <w:tcPr>
            <w:tcW w:w="1051" w:type="dxa"/>
            <w:shd w:val="clear" w:color="auto" w:fill="auto"/>
            <w:vAlign w:val="center"/>
          </w:tcPr>
          <w:p w14:paraId="5B41CEAF"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993</w:t>
            </w:r>
          </w:p>
        </w:tc>
      </w:tr>
      <w:tr w:rsidR="00DB2DC2" w:rsidRPr="00381DAD" w14:paraId="0F4866CD" w14:textId="77777777" w:rsidTr="005528D6">
        <w:tc>
          <w:tcPr>
            <w:tcW w:w="5069" w:type="dxa"/>
            <w:gridSpan w:val="2"/>
            <w:vAlign w:val="center"/>
          </w:tcPr>
          <w:p w14:paraId="3698CE60"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CSB SUD Inpatient Medical Detox Services</w:t>
            </w:r>
          </w:p>
        </w:tc>
        <w:tc>
          <w:tcPr>
            <w:tcW w:w="1080" w:type="dxa"/>
            <w:shd w:val="pct25" w:color="auto" w:fill="auto"/>
            <w:vAlign w:val="center"/>
          </w:tcPr>
          <w:p w14:paraId="1F31FCEA" w14:textId="77777777" w:rsidR="00DB2DC2" w:rsidRPr="009B5509" w:rsidRDefault="00DB2DC2" w:rsidP="005528D6">
            <w:pPr>
              <w:jc w:val="right"/>
              <w:rPr>
                <w:rFonts w:ascii="Calibri" w:hAnsi="Calibri" w:cs="Calibri"/>
                <w:sz w:val="20"/>
                <w:szCs w:val="20"/>
              </w:rPr>
            </w:pPr>
          </w:p>
        </w:tc>
        <w:tc>
          <w:tcPr>
            <w:tcW w:w="1080" w:type="dxa"/>
            <w:vMerge/>
            <w:shd w:val="pct25" w:color="auto" w:fill="auto"/>
            <w:vAlign w:val="center"/>
          </w:tcPr>
          <w:p w14:paraId="5BC04DC9" w14:textId="77777777" w:rsidR="00DB2DC2" w:rsidRPr="009B5509" w:rsidRDefault="00DB2DC2" w:rsidP="005528D6">
            <w:pPr>
              <w:jc w:val="right"/>
              <w:rPr>
                <w:rFonts w:ascii="Calibri" w:hAnsi="Calibri" w:cs="Calibri"/>
                <w:sz w:val="20"/>
                <w:szCs w:val="20"/>
              </w:rPr>
            </w:pPr>
          </w:p>
        </w:tc>
        <w:tc>
          <w:tcPr>
            <w:tcW w:w="1080" w:type="dxa"/>
            <w:vAlign w:val="center"/>
          </w:tcPr>
          <w:p w14:paraId="7B74FB5F"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432</w:t>
            </w:r>
          </w:p>
        </w:tc>
        <w:tc>
          <w:tcPr>
            <w:tcW w:w="1051" w:type="dxa"/>
            <w:shd w:val="clear" w:color="auto" w:fill="auto"/>
            <w:vAlign w:val="center"/>
          </w:tcPr>
          <w:p w14:paraId="51DC662B"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432</w:t>
            </w:r>
          </w:p>
        </w:tc>
      </w:tr>
      <w:tr w:rsidR="00DB2DC2" w:rsidRPr="00381DAD" w14:paraId="65DC140B" w14:textId="77777777" w:rsidTr="005528D6">
        <w:tc>
          <w:tcPr>
            <w:tcW w:w="5069" w:type="dxa"/>
            <w:gridSpan w:val="2"/>
            <w:vAlign w:val="center"/>
          </w:tcPr>
          <w:p w14:paraId="679C7E84"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State Hospital Acute Psychiatric Inpatient Services</w:t>
            </w:r>
          </w:p>
        </w:tc>
        <w:tc>
          <w:tcPr>
            <w:tcW w:w="1080" w:type="dxa"/>
          </w:tcPr>
          <w:p w14:paraId="79AE890F"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3,384</w:t>
            </w:r>
          </w:p>
        </w:tc>
        <w:tc>
          <w:tcPr>
            <w:tcW w:w="1080" w:type="dxa"/>
            <w:vMerge/>
            <w:shd w:val="pct25" w:color="auto" w:fill="auto"/>
            <w:vAlign w:val="center"/>
          </w:tcPr>
          <w:p w14:paraId="37CCEF00" w14:textId="77777777" w:rsidR="00DB2DC2" w:rsidRPr="009B5509" w:rsidRDefault="00DB2DC2" w:rsidP="005528D6">
            <w:pPr>
              <w:jc w:val="right"/>
              <w:rPr>
                <w:rFonts w:ascii="Calibri" w:hAnsi="Calibri" w:cs="Calibri"/>
                <w:i/>
                <w:sz w:val="20"/>
                <w:szCs w:val="20"/>
              </w:rPr>
            </w:pPr>
          </w:p>
        </w:tc>
        <w:tc>
          <w:tcPr>
            <w:tcW w:w="1080" w:type="dxa"/>
            <w:vMerge w:val="restart"/>
            <w:shd w:val="pct25" w:color="auto" w:fill="auto"/>
            <w:vAlign w:val="center"/>
          </w:tcPr>
          <w:p w14:paraId="4BF991DD" w14:textId="77777777" w:rsidR="00DB2DC2" w:rsidRPr="009B5509" w:rsidRDefault="00DB2DC2" w:rsidP="005528D6">
            <w:pPr>
              <w:jc w:val="right"/>
              <w:rPr>
                <w:rFonts w:ascii="Calibri" w:hAnsi="Calibri" w:cs="Calibri"/>
                <w:i/>
                <w:sz w:val="20"/>
                <w:szCs w:val="20"/>
              </w:rPr>
            </w:pPr>
          </w:p>
        </w:tc>
        <w:tc>
          <w:tcPr>
            <w:tcW w:w="1051" w:type="dxa"/>
            <w:shd w:val="clear" w:color="auto" w:fill="auto"/>
          </w:tcPr>
          <w:p w14:paraId="405DB456"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3,384</w:t>
            </w:r>
          </w:p>
        </w:tc>
      </w:tr>
      <w:tr w:rsidR="00DB2DC2" w:rsidRPr="00381DAD" w14:paraId="198E8C5B" w14:textId="77777777" w:rsidTr="005528D6">
        <w:tc>
          <w:tcPr>
            <w:tcW w:w="5069" w:type="dxa"/>
            <w:gridSpan w:val="2"/>
            <w:vAlign w:val="center"/>
          </w:tcPr>
          <w:p w14:paraId="46F9CACE"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State Hospital Extended Rehabilitation Services</w:t>
            </w:r>
          </w:p>
        </w:tc>
        <w:tc>
          <w:tcPr>
            <w:tcW w:w="1080" w:type="dxa"/>
          </w:tcPr>
          <w:p w14:paraId="77E60E62"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1,439</w:t>
            </w:r>
          </w:p>
        </w:tc>
        <w:tc>
          <w:tcPr>
            <w:tcW w:w="1080" w:type="dxa"/>
            <w:vMerge/>
            <w:shd w:val="pct25" w:color="auto" w:fill="auto"/>
            <w:vAlign w:val="center"/>
          </w:tcPr>
          <w:p w14:paraId="4FC2C5BA" w14:textId="77777777" w:rsidR="00DB2DC2" w:rsidRPr="009B5509" w:rsidRDefault="00DB2DC2" w:rsidP="005528D6">
            <w:pPr>
              <w:jc w:val="right"/>
              <w:rPr>
                <w:rFonts w:ascii="Calibri" w:hAnsi="Calibri" w:cs="Calibri"/>
                <w:i/>
                <w:sz w:val="20"/>
                <w:szCs w:val="20"/>
              </w:rPr>
            </w:pPr>
          </w:p>
        </w:tc>
        <w:tc>
          <w:tcPr>
            <w:tcW w:w="1080" w:type="dxa"/>
            <w:vMerge/>
            <w:shd w:val="pct25" w:color="auto" w:fill="auto"/>
            <w:vAlign w:val="center"/>
          </w:tcPr>
          <w:p w14:paraId="7E2861C9" w14:textId="77777777" w:rsidR="00DB2DC2" w:rsidRPr="009B5509" w:rsidRDefault="00DB2DC2" w:rsidP="005528D6">
            <w:pPr>
              <w:jc w:val="right"/>
              <w:rPr>
                <w:rFonts w:ascii="Calibri" w:hAnsi="Calibri" w:cs="Calibri"/>
                <w:i/>
                <w:sz w:val="20"/>
                <w:szCs w:val="20"/>
              </w:rPr>
            </w:pPr>
          </w:p>
        </w:tc>
        <w:tc>
          <w:tcPr>
            <w:tcW w:w="1051" w:type="dxa"/>
            <w:shd w:val="clear" w:color="auto" w:fill="auto"/>
          </w:tcPr>
          <w:p w14:paraId="6E3C4777"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1,439</w:t>
            </w:r>
          </w:p>
        </w:tc>
      </w:tr>
      <w:tr w:rsidR="00DB2DC2" w:rsidRPr="00381DAD" w14:paraId="4972FC99" w14:textId="77777777" w:rsidTr="005528D6">
        <w:tc>
          <w:tcPr>
            <w:tcW w:w="5069" w:type="dxa"/>
            <w:gridSpan w:val="2"/>
            <w:vAlign w:val="center"/>
          </w:tcPr>
          <w:p w14:paraId="0CAB36BC"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State Hospital Forensic Services</w:t>
            </w:r>
          </w:p>
        </w:tc>
        <w:tc>
          <w:tcPr>
            <w:tcW w:w="1080" w:type="dxa"/>
          </w:tcPr>
          <w:p w14:paraId="1F5F7C34"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998</w:t>
            </w:r>
          </w:p>
        </w:tc>
        <w:tc>
          <w:tcPr>
            <w:tcW w:w="1080" w:type="dxa"/>
            <w:vMerge/>
            <w:shd w:val="pct25" w:color="auto" w:fill="auto"/>
            <w:vAlign w:val="center"/>
          </w:tcPr>
          <w:p w14:paraId="2D2C8952" w14:textId="77777777" w:rsidR="00DB2DC2" w:rsidRPr="009B5509" w:rsidRDefault="00DB2DC2" w:rsidP="005528D6">
            <w:pPr>
              <w:jc w:val="right"/>
              <w:rPr>
                <w:rFonts w:ascii="Calibri" w:hAnsi="Calibri" w:cs="Calibri"/>
                <w:i/>
                <w:sz w:val="20"/>
                <w:szCs w:val="20"/>
              </w:rPr>
            </w:pPr>
          </w:p>
        </w:tc>
        <w:tc>
          <w:tcPr>
            <w:tcW w:w="1080" w:type="dxa"/>
            <w:vMerge/>
            <w:shd w:val="pct25" w:color="auto" w:fill="auto"/>
            <w:vAlign w:val="center"/>
          </w:tcPr>
          <w:p w14:paraId="209CCBA2" w14:textId="77777777" w:rsidR="00DB2DC2" w:rsidRPr="009B5509" w:rsidRDefault="00DB2DC2" w:rsidP="005528D6">
            <w:pPr>
              <w:jc w:val="right"/>
              <w:rPr>
                <w:rFonts w:ascii="Calibri" w:hAnsi="Calibri" w:cs="Calibri"/>
                <w:i/>
                <w:sz w:val="20"/>
                <w:szCs w:val="20"/>
              </w:rPr>
            </w:pPr>
          </w:p>
        </w:tc>
        <w:tc>
          <w:tcPr>
            <w:tcW w:w="1051" w:type="dxa"/>
            <w:shd w:val="clear" w:color="auto" w:fill="auto"/>
          </w:tcPr>
          <w:p w14:paraId="3A3CCC36"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998</w:t>
            </w:r>
          </w:p>
        </w:tc>
      </w:tr>
      <w:tr w:rsidR="00DB2DC2" w:rsidRPr="00381DAD" w14:paraId="5F8A85FE" w14:textId="77777777" w:rsidTr="005528D6">
        <w:tc>
          <w:tcPr>
            <w:tcW w:w="5069" w:type="dxa"/>
            <w:gridSpan w:val="2"/>
            <w:vAlign w:val="center"/>
          </w:tcPr>
          <w:p w14:paraId="5B515046"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HDMC</w:t>
            </w:r>
            <w:r w:rsidRPr="009B5509">
              <w:rPr>
                <w:rFonts w:ascii="Calibri" w:hAnsi="Calibri" w:cs="Calibri"/>
                <w:b/>
                <w:sz w:val="20"/>
                <w:szCs w:val="20"/>
                <w:vertAlign w:val="superscript"/>
              </w:rPr>
              <w:t>3</w:t>
            </w:r>
          </w:p>
        </w:tc>
        <w:tc>
          <w:tcPr>
            <w:tcW w:w="1080" w:type="dxa"/>
            <w:vMerge w:val="restart"/>
            <w:shd w:val="clear" w:color="auto" w:fill="BFBFBF" w:themeFill="background1" w:themeFillShade="BF"/>
            <w:vAlign w:val="center"/>
          </w:tcPr>
          <w:p w14:paraId="59816D56" w14:textId="77777777" w:rsidR="00DB2DC2" w:rsidRPr="009B5509" w:rsidRDefault="00DB2DC2" w:rsidP="005528D6">
            <w:pPr>
              <w:jc w:val="right"/>
              <w:rPr>
                <w:rFonts w:ascii="Calibri" w:hAnsi="Calibri" w:cs="Calibri"/>
                <w:sz w:val="20"/>
                <w:szCs w:val="20"/>
              </w:rPr>
            </w:pPr>
          </w:p>
        </w:tc>
        <w:tc>
          <w:tcPr>
            <w:tcW w:w="1080" w:type="dxa"/>
            <w:vMerge/>
            <w:shd w:val="clear" w:color="auto" w:fill="BFBFBF" w:themeFill="background1" w:themeFillShade="BF"/>
            <w:vAlign w:val="center"/>
          </w:tcPr>
          <w:p w14:paraId="554C6943" w14:textId="77777777" w:rsidR="00DB2DC2" w:rsidRPr="009B5509" w:rsidRDefault="00DB2DC2" w:rsidP="005528D6">
            <w:pPr>
              <w:jc w:val="right"/>
              <w:rPr>
                <w:rFonts w:ascii="Calibri" w:hAnsi="Calibri" w:cs="Calibri"/>
                <w:i/>
                <w:sz w:val="20"/>
                <w:szCs w:val="20"/>
              </w:rPr>
            </w:pPr>
          </w:p>
        </w:tc>
        <w:tc>
          <w:tcPr>
            <w:tcW w:w="1080" w:type="dxa"/>
            <w:vMerge/>
            <w:shd w:val="clear" w:color="auto" w:fill="auto"/>
            <w:vAlign w:val="center"/>
          </w:tcPr>
          <w:p w14:paraId="6F6F1431" w14:textId="77777777" w:rsidR="00DB2DC2" w:rsidRPr="009B5509" w:rsidRDefault="00DB2DC2" w:rsidP="005528D6">
            <w:pPr>
              <w:jc w:val="right"/>
              <w:rPr>
                <w:rFonts w:ascii="Calibri" w:hAnsi="Calibri" w:cs="Calibri"/>
                <w:sz w:val="20"/>
                <w:szCs w:val="20"/>
              </w:rPr>
            </w:pPr>
          </w:p>
        </w:tc>
        <w:tc>
          <w:tcPr>
            <w:tcW w:w="1051" w:type="dxa"/>
            <w:shd w:val="clear" w:color="auto" w:fill="auto"/>
            <w:vAlign w:val="center"/>
          </w:tcPr>
          <w:p w14:paraId="13668860"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81</w:t>
            </w:r>
          </w:p>
        </w:tc>
      </w:tr>
      <w:tr w:rsidR="00DB2DC2" w:rsidRPr="00381DAD" w14:paraId="6E090EC9" w14:textId="77777777" w:rsidTr="005528D6">
        <w:tc>
          <w:tcPr>
            <w:tcW w:w="5069" w:type="dxa"/>
            <w:gridSpan w:val="2"/>
            <w:vAlign w:val="center"/>
          </w:tcPr>
          <w:p w14:paraId="6043472D"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VCBR</w:t>
            </w:r>
            <w:r w:rsidRPr="009B5509">
              <w:rPr>
                <w:rFonts w:ascii="Calibri" w:hAnsi="Calibri" w:cs="Calibri"/>
                <w:b/>
                <w:sz w:val="20"/>
                <w:szCs w:val="20"/>
                <w:vertAlign w:val="superscript"/>
              </w:rPr>
              <w:t>3</w:t>
            </w:r>
          </w:p>
        </w:tc>
        <w:tc>
          <w:tcPr>
            <w:tcW w:w="1080" w:type="dxa"/>
            <w:vMerge/>
            <w:shd w:val="clear" w:color="auto" w:fill="BFBFBF" w:themeFill="background1" w:themeFillShade="BF"/>
            <w:vAlign w:val="center"/>
          </w:tcPr>
          <w:p w14:paraId="100E6464" w14:textId="77777777" w:rsidR="00DB2DC2" w:rsidRPr="009B5509" w:rsidRDefault="00DB2DC2" w:rsidP="005528D6">
            <w:pPr>
              <w:jc w:val="right"/>
              <w:rPr>
                <w:rFonts w:ascii="Calibri" w:hAnsi="Calibri" w:cs="Calibri"/>
                <w:sz w:val="20"/>
                <w:szCs w:val="20"/>
              </w:rPr>
            </w:pPr>
          </w:p>
        </w:tc>
        <w:tc>
          <w:tcPr>
            <w:tcW w:w="1080" w:type="dxa"/>
            <w:vMerge/>
            <w:shd w:val="pct25" w:color="auto" w:fill="auto"/>
            <w:vAlign w:val="center"/>
          </w:tcPr>
          <w:p w14:paraId="132DF80B" w14:textId="77777777" w:rsidR="00DB2DC2" w:rsidRPr="009B5509" w:rsidRDefault="00DB2DC2" w:rsidP="005528D6">
            <w:pPr>
              <w:jc w:val="right"/>
              <w:rPr>
                <w:rFonts w:ascii="Calibri" w:hAnsi="Calibri" w:cs="Calibri"/>
                <w:i/>
                <w:sz w:val="20"/>
                <w:szCs w:val="20"/>
              </w:rPr>
            </w:pPr>
          </w:p>
        </w:tc>
        <w:tc>
          <w:tcPr>
            <w:tcW w:w="1080" w:type="dxa"/>
            <w:vMerge/>
            <w:shd w:val="pct25" w:color="auto" w:fill="auto"/>
            <w:vAlign w:val="center"/>
          </w:tcPr>
          <w:p w14:paraId="65917BCF" w14:textId="77777777" w:rsidR="00DB2DC2" w:rsidRPr="009B5509" w:rsidRDefault="00DB2DC2" w:rsidP="005528D6">
            <w:pPr>
              <w:jc w:val="right"/>
              <w:rPr>
                <w:rFonts w:ascii="Calibri" w:hAnsi="Calibri" w:cs="Calibri"/>
                <w:i/>
                <w:sz w:val="20"/>
                <w:szCs w:val="20"/>
              </w:rPr>
            </w:pPr>
          </w:p>
        </w:tc>
        <w:tc>
          <w:tcPr>
            <w:tcW w:w="1051" w:type="dxa"/>
            <w:shd w:val="clear" w:color="auto" w:fill="auto"/>
            <w:vAlign w:val="center"/>
          </w:tcPr>
          <w:p w14:paraId="1947AEC9"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442</w:t>
            </w:r>
          </w:p>
        </w:tc>
      </w:tr>
      <w:tr w:rsidR="00DB2DC2" w:rsidRPr="00381DAD" w14:paraId="52F41890" w14:textId="77777777" w:rsidTr="005528D6">
        <w:tc>
          <w:tcPr>
            <w:tcW w:w="5069" w:type="dxa"/>
            <w:gridSpan w:val="2"/>
            <w:vAlign w:val="center"/>
          </w:tcPr>
          <w:p w14:paraId="6C8936F1" w14:textId="77777777" w:rsidR="00DB2DC2" w:rsidRPr="009B5509" w:rsidRDefault="00DB2DC2" w:rsidP="005528D6">
            <w:pPr>
              <w:rPr>
                <w:rFonts w:ascii="Calibri" w:hAnsi="Calibri" w:cs="Calibri"/>
                <w:b/>
                <w:sz w:val="20"/>
                <w:szCs w:val="20"/>
              </w:rPr>
            </w:pPr>
            <w:r w:rsidRPr="009B5509">
              <w:rPr>
                <w:rFonts w:ascii="Calibri" w:hAnsi="Calibri" w:cs="Calibri"/>
                <w:b/>
                <w:sz w:val="20"/>
                <w:szCs w:val="20"/>
              </w:rPr>
              <w:t>Total CSB Inpatient Services</w:t>
            </w:r>
            <w:r w:rsidRPr="009B5509">
              <w:rPr>
                <w:rFonts w:ascii="Calibri" w:hAnsi="Calibri" w:cs="Calibri"/>
                <w:b/>
                <w:sz w:val="20"/>
                <w:szCs w:val="20"/>
                <w:vertAlign w:val="superscript"/>
              </w:rPr>
              <w:t>1</w:t>
            </w:r>
          </w:p>
        </w:tc>
        <w:tc>
          <w:tcPr>
            <w:tcW w:w="1080" w:type="dxa"/>
            <w:vAlign w:val="center"/>
          </w:tcPr>
          <w:p w14:paraId="670DBA8D" w14:textId="77777777" w:rsidR="00DB2DC2" w:rsidRPr="009B5509" w:rsidRDefault="00DB2DC2" w:rsidP="005528D6">
            <w:pPr>
              <w:jc w:val="right"/>
              <w:rPr>
                <w:rFonts w:ascii="Calibri" w:hAnsi="Calibri" w:cs="Calibri"/>
                <w:b/>
                <w:sz w:val="20"/>
                <w:szCs w:val="20"/>
              </w:rPr>
            </w:pPr>
            <w:r w:rsidRPr="009B5509">
              <w:rPr>
                <w:rFonts w:ascii="Calibri" w:hAnsi="Calibri" w:cs="Calibri"/>
                <w:b/>
                <w:sz w:val="20"/>
                <w:szCs w:val="20"/>
              </w:rPr>
              <w:t>3,384</w:t>
            </w:r>
          </w:p>
        </w:tc>
        <w:tc>
          <w:tcPr>
            <w:tcW w:w="1080" w:type="dxa"/>
            <w:vMerge/>
            <w:shd w:val="pct25" w:color="auto" w:fill="auto"/>
            <w:vAlign w:val="center"/>
          </w:tcPr>
          <w:p w14:paraId="14BAAEEF" w14:textId="77777777" w:rsidR="00DB2DC2" w:rsidRPr="009B5509" w:rsidRDefault="00DB2DC2" w:rsidP="005528D6">
            <w:pPr>
              <w:jc w:val="right"/>
              <w:rPr>
                <w:rFonts w:ascii="Calibri" w:hAnsi="Calibri" w:cs="Calibri"/>
                <w:b/>
                <w:sz w:val="20"/>
                <w:szCs w:val="20"/>
              </w:rPr>
            </w:pPr>
          </w:p>
        </w:tc>
        <w:tc>
          <w:tcPr>
            <w:tcW w:w="1080" w:type="dxa"/>
            <w:shd w:val="clear" w:color="auto" w:fill="auto"/>
            <w:vAlign w:val="center"/>
          </w:tcPr>
          <w:p w14:paraId="58D5B607" w14:textId="77777777" w:rsidR="00DB2DC2" w:rsidRPr="009B5509" w:rsidRDefault="00DB2DC2" w:rsidP="005528D6">
            <w:pPr>
              <w:jc w:val="right"/>
              <w:rPr>
                <w:rFonts w:ascii="Calibri" w:hAnsi="Calibri" w:cs="Calibri"/>
                <w:b/>
                <w:sz w:val="20"/>
                <w:szCs w:val="20"/>
              </w:rPr>
            </w:pPr>
            <w:r w:rsidRPr="009B5509">
              <w:rPr>
                <w:rFonts w:ascii="Calibri" w:hAnsi="Calibri" w:cs="Calibri"/>
                <w:b/>
                <w:sz w:val="20"/>
                <w:szCs w:val="20"/>
              </w:rPr>
              <w:t>432</w:t>
            </w:r>
          </w:p>
        </w:tc>
        <w:tc>
          <w:tcPr>
            <w:tcW w:w="1051" w:type="dxa"/>
            <w:shd w:val="clear" w:color="auto" w:fill="auto"/>
            <w:vAlign w:val="center"/>
          </w:tcPr>
          <w:p w14:paraId="19B51505" w14:textId="77777777" w:rsidR="00DB2DC2" w:rsidRPr="009B5509" w:rsidRDefault="00DB2DC2" w:rsidP="005528D6">
            <w:pPr>
              <w:jc w:val="right"/>
              <w:rPr>
                <w:rFonts w:ascii="Calibri" w:hAnsi="Calibri" w:cs="Calibri"/>
                <w:b/>
                <w:sz w:val="20"/>
                <w:szCs w:val="20"/>
              </w:rPr>
            </w:pPr>
            <w:r w:rsidRPr="009B5509">
              <w:rPr>
                <w:rFonts w:ascii="Calibri" w:hAnsi="Calibri" w:cs="Calibri"/>
                <w:b/>
                <w:sz w:val="20"/>
                <w:szCs w:val="20"/>
              </w:rPr>
              <w:t>3,816</w:t>
            </w:r>
          </w:p>
        </w:tc>
      </w:tr>
      <w:tr w:rsidR="00DB2DC2" w:rsidRPr="00381DAD" w14:paraId="53545CC7" w14:textId="77777777" w:rsidTr="005528D6">
        <w:tc>
          <w:tcPr>
            <w:tcW w:w="5069" w:type="dxa"/>
            <w:gridSpan w:val="2"/>
            <w:vAlign w:val="center"/>
          </w:tcPr>
          <w:p w14:paraId="795F2B8B" w14:textId="77777777" w:rsidR="00DB2DC2" w:rsidRPr="009B5509" w:rsidRDefault="00DB2DC2" w:rsidP="005528D6">
            <w:pPr>
              <w:rPr>
                <w:rFonts w:ascii="Calibri" w:hAnsi="Calibri" w:cs="Calibri"/>
                <w:b/>
                <w:sz w:val="20"/>
                <w:szCs w:val="20"/>
              </w:rPr>
            </w:pPr>
            <w:r w:rsidRPr="009B5509">
              <w:rPr>
                <w:rFonts w:ascii="Calibri" w:hAnsi="Calibri" w:cs="Calibri"/>
                <w:b/>
                <w:sz w:val="20"/>
                <w:szCs w:val="20"/>
              </w:rPr>
              <w:t>Total State Facility Inpatient Services</w:t>
            </w:r>
            <w:r w:rsidRPr="009B5509">
              <w:rPr>
                <w:rFonts w:ascii="Calibri" w:hAnsi="Calibri" w:cs="Calibri"/>
                <w:b/>
                <w:sz w:val="20"/>
                <w:szCs w:val="20"/>
                <w:vertAlign w:val="superscript"/>
              </w:rPr>
              <w:t>1,4</w:t>
            </w:r>
            <w:r w:rsidRPr="009B5509">
              <w:rPr>
                <w:rFonts w:ascii="Calibri" w:hAnsi="Calibri" w:cs="Calibri"/>
                <w:b/>
                <w:sz w:val="20"/>
                <w:szCs w:val="20"/>
              </w:rPr>
              <w:t xml:space="preserve"> </w:t>
            </w:r>
          </w:p>
        </w:tc>
        <w:tc>
          <w:tcPr>
            <w:tcW w:w="1080" w:type="dxa"/>
          </w:tcPr>
          <w:p w14:paraId="53166E87" w14:textId="77777777" w:rsidR="00DB2DC2" w:rsidRPr="009B5509" w:rsidRDefault="00DB2DC2" w:rsidP="005528D6">
            <w:pPr>
              <w:jc w:val="right"/>
              <w:rPr>
                <w:rFonts w:ascii="Calibri" w:hAnsi="Calibri" w:cs="Calibri"/>
                <w:b/>
                <w:sz w:val="20"/>
                <w:szCs w:val="20"/>
              </w:rPr>
            </w:pPr>
            <w:r w:rsidRPr="009B5509">
              <w:rPr>
                <w:rFonts w:ascii="Calibri" w:hAnsi="Calibri" w:cs="Calibri"/>
                <w:b/>
                <w:sz w:val="20"/>
                <w:szCs w:val="20"/>
              </w:rPr>
              <w:t>5,789</w:t>
            </w:r>
          </w:p>
        </w:tc>
        <w:tc>
          <w:tcPr>
            <w:tcW w:w="1080" w:type="dxa"/>
          </w:tcPr>
          <w:p w14:paraId="1E9B14C6" w14:textId="77777777" w:rsidR="00DB2DC2" w:rsidRPr="009B5509" w:rsidRDefault="00DB2DC2" w:rsidP="005528D6">
            <w:pPr>
              <w:jc w:val="right"/>
              <w:rPr>
                <w:rFonts w:ascii="Calibri" w:hAnsi="Calibri" w:cs="Calibri"/>
                <w:b/>
                <w:sz w:val="20"/>
                <w:szCs w:val="20"/>
              </w:rPr>
            </w:pPr>
            <w:r w:rsidRPr="009B5509">
              <w:rPr>
                <w:rFonts w:ascii="Calibri" w:hAnsi="Calibri" w:cs="Calibri"/>
                <w:b/>
                <w:sz w:val="20"/>
                <w:szCs w:val="20"/>
              </w:rPr>
              <w:t>72</w:t>
            </w:r>
          </w:p>
        </w:tc>
        <w:tc>
          <w:tcPr>
            <w:tcW w:w="1080" w:type="dxa"/>
            <w:shd w:val="pct25" w:color="auto" w:fill="auto"/>
          </w:tcPr>
          <w:p w14:paraId="3E78C0B4" w14:textId="77777777" w:rsidR="00DB2DC2" w:rsidRPr="009B5509" w:rsidRDefault="00DB2DC2" w:rsidP="005528D6">
            <w:pPr>
              <w:jc w:val="right"/>
              <w:rPr>
                <w:rFonts w:ascii="Calibri" w:hAnsi="Calibri" w:cs="Calibri"/>
                <w:b/>
                <w:sz w:val="20"/>
                <w:szCs w:val="20"/>
              </w:rPr>
            </w:pPr>
          </w:p>
        </w:tc>
        <w:tc>
          <w:tcPr>
            <w:tcW w:w="1051" w:type="dxa"/>
            <w:shd w:val="clear" w:color="auto" w:fill="auto"/>
            <w:vAlign w:val="center"/>
          </w:tcPr>
          <w:p w14:paraId="39858BE3" w14:textId="77777777" w:rsidR="00DB2DC2" w:rsidRPr="009B5509" w:rsidRDefault="00DB2DC2" w:rsidP="005528D6">
            <w:pPr>
              <w:jc w:val="right"/>
              <w:rPr>
                <w:rFonts w:ascii="Calibri" w:hAnsi="Calibri" w:cs="Calibri"/>
                <w:b/>
                <w:sz w:val="20"/>
                <w:szCs w:val="20"/>
              </w:rPr>
            </w:pPr>
            <w:r w:rsidRPr="009B5509">
              <w:rPr>
                <w:rFonts w:ascii="Calibri" w:hAnsi="Calibri" w:cs="Calibri"/>
                <w:b/>
                <w:sz w:val="20"/>
                <w:szCs w:val="20"/>
              </w:rPr>
              <w:t>5,856</w:t>
            </w:r>
          </w:p>
        </w:tc>
      </w:tr>
      <w:tr w:rsidR="00DB2DC2" w:rsidRPr="00381DAD" w14:paraId="1ED443C9" w14:textId="77777777" w:rsidTr="005528D6">
        <w:tc>
          <w:tcPr>
            <w:tcW w:w="5069" w:type="dxa"/>
            <w:gridSpan w:val="2"/>
            <w:vAlign w:val="center"/>
          </w:tcPr>
          <w:p w14:paraId="66782BE9"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Outpatient Services</w:t>
            </w:r>
          </w:p>
        </w:tc>
        <w:tc>
          <w:tcPr>
            <w:tcW w:w="1080" w:type="dxa"/>
          </w:tcPr>
          <w:p w14:paraId="2B397FE2"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54,657 </w:t>
            </w:r>
          </w:p>
        </w:tc>
        <w:tc>
          <w:tcPr>
            <w:tcW w:w="1080" w:type="dxa"/>
          </w:tcPr>
          <w:p w14:paraId="57EBCCB4"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77 </w:t>
            </w:r>
          </w:p>
        </w:tc>
        <w:tc>
          <w:tcPr>
            <w:tcW w:w="1080" w:type="dxa"/>
          </w:tcPr>
          <w:p w14:paraId="0C18F9CC"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17,392 </w:t>
            </w:r>
          </w:p>
        </w:tc>
        <w:tc>
          <w:tcPr>
            <w:tcW w:w="1051" w:type="dxa"/>
            <w:shd w:val="clear" w:color="auto" w:fill="auto"/>
          </w:tcPr>
          <w:p w14:paraId="3533C9DF"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69,544 </w:t>
            </w:r>
          </w:p>
        </w:tc>
      </w:tr>
      <w:tr w:rsidR="00DB2DC2" w:rsidRPr="00381DAD" w14:paraId="4F409206" w14:textId="77777777" w:rsidTr="005528D6">
        <w:tc>
          <w:tcPr>
            <w:tcW w:w="5069" w:type="dxa"/>
            <w:gridSpan w:val="2"/>
            <w:vAlign w:val="center"/>
          </w:tcPr>
          <w:p w14:paraId="50392C58"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Medical Services</w:t>
            </w:r>
          </w:p>
        </w:tc>
        <w:tc>
          <w:tcPr>
            <w:tcW w:w="1080" w:type="dxa"/>
          </w:tcPr>
          <w:p w14:paraId="3C66F9E5"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76,445 </w:t>
            </w:r>
          </w:p>
        </w:tc>
        <w:tc>
          <w:tcPr>
            <w:tcW w:w="1080" w:type="dxa"/>
          </w:tcPr>
          <w:p w14:paraId="558D9C6F"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134 </w:t>
            </w:r>
          </w:p>
        </w:tc>
        <w:tc>
          <w:tcPr>
            <w:tcW w:w="1080" w:type="dxa"/>
          </w:tcPr>
          <w:p w14:paraId="34B72AC9"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2,277 </w:t>
            </w:r>
          </w:p>
        </w:tc>
        <w:tc>
          <w:tcPr>
            <w:tcW w:w="1051" w:type="dxa"/>
            <w:shd w:val="clear" w:color="auto" w:fill="auto"/>
          </w:tcPr>
          <w:p w14:paraId="71F14067"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78,362 </w:t>
            </w:r>
          </w:p>
        </w:tc>
      </w:tr>
      <w:tr w:rsidR="00DB2DC2" w:rsidRPr="00381DAD" w14:paraId="15147DD6" w14:textId="77777777" w:rsidTr="005528D6">
        <w:tc>
          <w:tcPr>
            <w:tcW w:w="5069" w:type="dxa"/>
            <w:gridSpan w:val="2"/>
            <w:vAlign w:val="center"/>
          </w:tcPr>
          <w:p w14:paraId="7B2ECB84"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Intensive Outpatient Services</w:t>
            </w:r>
          </w:p>
        </w:tc>
        <w:tc>
          <w:tcPr>
            <w:tcW w:w="1080" w:type="dxa"/>
            <w:vMerge w:val="restart"/>
            <w:shd w:val="pct25" w:color="auto" w:fill="auto"/>
            <w:vAlign w:val="center"/>
          </w:tcPr>
          <w:p w14:paraId="4D4270E7"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w:t>
            </w:r>
          </w:p>
          <w:p w14:paraId="08F221C4"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w:t>
            </w:r>
          </w:p>
        </w:tc>
        <w:tc>
          <w:tcPr>
            <w:tcW w:w="1080" w:type="dxa"/>
            <w:vMerge w:val="restart"/>
            <w:shd w:val="pct25" w:color="auto" w:fill="auto"/>
            <w:vAlign w:val="center"/>
          </w:tcPr>
          <w:p w14:paraId="4C06197E"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w:t>
            </w:r>
          </w:p>
          <w:p w14:paraId="210CE6F1"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w:t>
            </w:r>
          </w:p>
          <w:p w14:paraId="0704822C" w14:textId="77777777" w:rsidR="00DB2DC2" w:rsidRPr="009B5509" w:rsidRDefault="00DB2DC2" w:rsidP="005528D6">
            <w:pPr>
              <w:jc w:val="right"/>
              <w:rPr>
                <w:rFonts w:ascii="Calibri" w:hAnsi="Calibri" w:cs="Calibri"/>
                <w:sz w:val="20"/>
                <w:szCs w:val="20"/>
              </w:rPr>
            </w:pPr>
          </w:p>
        </w:tc>
        <w:tc>
          <w:tcPr>
            <w:tcW w:w="1080" w:type="dxa"/>
          </w:tcPr>
          <w:p w14:paraId="5302848F"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3,160 </w:t>
            </w:r>
          </w:p>
        </w:tc>
        <w:tc>
          <w:tcPr>
            <w:tcW w:w="1051" w:type="dxa"/>
            <w:shd w:val="clear" w:color="auto" w:fill="auto"/>
          </w:tcPr>
          <w:p w14:paraId="22A45318"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3,160 </w:t>
            </w:r>
          </w:p>
        </w:tc>
      </w:tr>
      <w:tr w:rsidR="00DB2DC2" w:rsidRPr="00381DAD" w14:paraId="4EE77E10" w14:textId="77777777" w:rsidTr="005528D6">
        <w:tc>
          <w:tcPr>
            <w:tcW w:w="5069" w:type="dxa"/>
            <w:gridSpan w:val="2"/>
            <w:vAlign w:val="center"/>
          </w:tcPr>
          <w:p w14:paraId="4E2C4479"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Medication Assisted Treatment</w:t>
            </w:r>
          </w:p>
        </w:tc>
        <w:tc>
          <w:tcPr>
            <w:tcW w:w="1080" w:type="dxa"/>
            <w:vMerge/>
            <w:shd w:val="pct25" w:color="auto" w:fill="auto"/>
            <w:vAlign w:val="center"/>
          </w:tcPr>
          <w:p w14:paraId="134BA59C" w14:textId="77777777" w:rsidR="00DB2DC2" w:rsidRPr="009B5509" w:rsidRDefault="00DB2DC2" w:rsidP="005528D6">
            <w:pPr>
              <w:jc w:val="right"/>
              <w:rPr>
                <w:rFonts w:ascii="Calibri" w:hAnsi="Calibri" w:cs="Calibri"/>
                <w:sz w:val="20"/>
                <w:szCs w:val="20"/>
              </w:rPr>
            </w:pPr>
          </w:p>
        </w:tc>
        <w:tc>
          <w:tcPr>
            <w:tcW w:w="1080" w:type="dxa"/>
            <w:vMerge/>
            <w:shd w:val="pct25" w:color="auto" w:fill="auto"/>
            <w:vAlign w:val="center"/>
          </w:tcPr>
          <w:p w14:paraId="581D085E" w14:textId="77777777" w:rsidR="00DB2DC2" w:rsidRPr="009B5509" w:rsidRDefault="00DB2DC2" w:rsidP="005528D6">
            <w:pPr>
              <w:jc w:val="right"/>
              <w:rPr>
                <w:rFonts w:ascii="Calibri" w:hAnsi="Calibri" w:cs="Calibri"/>
                <w:sz w:val="20"/>
                <w:szCs w:val="20"/>
              </w:rPr>
            </w:pPr>
          </w:p>
        </w:tc>
        <w:tc>
          <w:tcPr>
            <w:tcW w:w="1080" w:type="dxa"/>
          </w:tcPr>
          <w:p w14:paraId="6CD6EEEA"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4,725 </w:t>
            </w:r>
          </w:p>
        </w:tc>
        <w:tc>
          <w:tcPr>
            <w:tcW w:w="1051" w:type="dxa"/>
            <w:shd w:val="clear" w:color="auto" w:fill="auto"/>
          </w:tcPr>
          <w:p w14:paraId="0C986F03"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4,725 </w:t>
            </w:r>
          </w:p>
        </w:tc>
      </w:tr>
      <w:tr w:rsidR="00DB2DC2" w:rsidRPr="00381DAD" w14:paraId="0068A08C" w14:textId="77777777" w:rsidTr="005528D6">
        <w:tc>
          <w:tcPr>
            <w:tcW w:w="5069" w:type="dxa"/>
            <w:gridSpan w:val="2"/>
            <w:vAlign w:val="center"/>
          </w:tcPr>
          <w:p w14:paraId="21DBF997"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Assertive Community Treatment</w:t>
            </w:r>
          </w:p>
        </w:tc>
        <w:tc>
          <w:tcPr>
            <w:tcW w:w="1080" w:type="dxa"/>
          </w:tcPr>
          <w:p w14:paraId="0F02DE2A"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2,632 </w:t>
            </w:r>
          </w:p>
        </w:tc>
        <w:tc>
          <w:tcPr>
            <w:tcW w:w="1080" w:type="dxa"/>
            <w:vMerge/>
            <w:shd w:val="pct25" w:color="auto" w:fill="auto"/>
            <w:vAlign w:val="center"/>
          </w:tcPr>
          <w:p w14:paraId="7C11AF98" w14:textId="77777777" w:rsidR="00DB2DC2" w:rsidRPr="009B5509" w:rsidRDefault="00DB2DC2" w:rsidP="005528D6">
            <w:pPr>
              <w:jc w:val="right"/>
              <w:rPr>
                <w:rFonts w:ascii="Calibri" w:hAnsi="Calibri" w:cs="Calibri"/>
                <w:sz w:val="20"/>
                <w:szCs w:val="20"/>
              </w:rPr>
            </w:pPr>
          </w:p>
        </w:tc>
        <w:tc>
          <w:tcPr>
            <w:tcW w:w="1080" w:type="dxa"/>
            <w:shd w:val="pct25" w:color="auto" w:fill="auto"/>
            <w:vAlign w:val="center"/>
          </w:tcPr>
          <w:p w14:paraId="4D8A5F37"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w:t>
            </w:r>
          </w:p>
        </w:tc>
        <w:tc>
          <w:tcPr>
            <w:tcW w:w="1051" w:type="dxa"/>
            <w:shd w:val="clear" w:color="auto" w:fill="auto"/>
          </w:tcPr>
          <w:p w14:paraId="5073AAB4"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2,632 </w:t>
            </w:r>
          </w:p>
        </w:tc>
      </w:tr>
      <w:tr w:rsidR="00DB2DC2" w:rsidRPr="00381DAD" w14:paraId="4D6A0943" w14:textId="77777777" w:rsidTr="005528D6">
        <w:tc>
          <w:tcPr>
            <w:tcW w:w="5069" w:type="dxa"/>
            <w:gridSpan w:val="2"/>
            <w:vAlign w:val="center"/>
          </w:tcPr>
          <w:p w14:paraId="48E3D694" w14:textId="77777777" w:rsidR="00DB2DC2" w:rsidRPr="009B5509" w:rsidRDefault="00DB2DC2" w:rsidP="005528D6">
            <w:pPr>
              <w:rPr>
                <w:rFonts w:ascii="Calibri" w:hAnsi="Calibri" w:cs="Calibri"/>
                <w:b/>
                <w:sz w:val="20"/>
                <w:szCs w:val="20"/>
              </w:rPr>
            </w:pPr>
            <w:r w:rsidRPr="009B5509">
              <w:rPr>
                <w:rFonts w:ascii="Calibri" w:hAnsi="Calibri" w:cs="Calibri"/>
                <w:b/>
                <w:sz w:val="20"/>
                <w:szCs w:val="20"/>
              </w:rPr>
              <w:t>Total Outpatient Services</w:t>
            </w:r>
            <w:r w:rsidRPr="009B5509">
              <w:rPr>
                <w:rFonts w:ascii="Calibri" w:hAnsi="Calibri" w:cs="Calibri"/>
                <w:b/>
                <w:sz w:val="20"/>
                <w:szCs w:val="20"/>
                <w:vertAlign w:val="superscript"/>
              </w:rPr>
              <w:t>1</w:t>
            </w:r>
            <w:r w:rsidRPr="009B5509">
              <w:rPr>
                <w:rFonts w:ascii="Calibri" w:hAnsi="Calibri" w:cs="Calibri"/>
                <w:b/>
                <w:sz w:val="20"/>
                <w:szCs w:val="20"/>
              </w:rPr>
              <w:t xml:space="preserve"> </w:t>
            </w:r>
          </w:p>
        </w:tc>
        <w:tc>
          <w:tcPr>
            <w:tcW w:w="1080" w:type="dxa"/>
          </w:tcPr>
          <w:p w14:paraId="67ABBCB0"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105,346 </w:t>
            </w:r>
          </w:p>
        </w:tc>
        <w:tc>
          <w:tcPr>
            <w:tcW w:w="1080" w:type="dxa"/>
          </w:tcPr>
          <w:p w14:paraId="42729AC2"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211 </w:t>
            </w:r>
          </w:p>
        </w:tc>
        <w:tc>
          <w:tcPr>
            <w:tcW w:w="1080" w:type="dxa"/>
          </w:tcPr>
          <w:p w14:paraId="41A7D0C1"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21,709 </w:t>
            </w:r>
          </w:p>
        </w:tc>
        <w:tc>
          <w:tcPr>
            <w:tcW w:w="1051" w:type="dxa"/>
            <w:shd w:val="clear" w:color="auto" w:fill="auto"/>
          </w:tcPr>
          <w:p w14:paraId="5E005281"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119,372 </w:t>
            </w:r>
          </w:p>
        </w:tc>
      </w:tr>
      <w:tr w:rsidR="00DB2DC2" w:rsidRPr="00381DAD" w14:paraId="4245145E" w14:textId="77777777" w:rsidTr="005528D6">
        <w:tc>
          <w:tcPr>
            <w:tcW w:w="5069" w:type="dxa"/>
            <w:gridSpan w:val="2"/>
            <w:vAlign w:val="center"/>
          </w:tcPr>
          <w:p w14:paraId="77F2267A" w14:textId="77777777" w:rsidR="00DB2DC2" w:rsidRPr="009B5509" w:rsidRDefault="00DB2DC2" w:rsidP="005528D6">
            <w:pPr>
              <w:rPr>
                <w:rFonts w:ascii="Calibri" w:hAnsi="Calibri" w:cs="Calibri"/>
                <w:b/>
                <w:sz w:val="20"/>
                <w:szCs w:val="20"/>
              </w:rPr>
            </w:pPr>
            <w:r w:rsidRPr="009B5509">
              <w:rPr>
                <w:rFonts w:ascii="Calibri" w:hAnsi="Calibri" w:cs="Calibri"/>
                <w:b/>
                <w:sz w:val="20"/>
                <w:szCs w:val="20"/>
              </w:rPr>
              <w:t>Total Case Management Services</w:t>
            </w:r>
          </w:p>
        </w:tc>
        <w:tc>
          <w:tcPr>
            <w:tcW w:w="1080" w:type="dxa"/>
          </w:tcPr>
          <w:p w14:paraId="1FBB200A"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59,365 </w:t>
            </w:r>
          </w:p>
        </w:tc>
        <w:tc>
          <w:tcPr>
            <w:tcW w:w="1080" w:type="dxa"/>
          </w:tcPr>
          <w:p w14:paraId="68C8F413"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21,687 </w:t>
            </w:r>
          </w:p>
        </w:tc>
        <w:tc>
          <w:tcPr>
            <w:tcW w:w="1080" w:type="dxa"/>
          </w:tcPr>
          <w:p w14:paraId="004871F2"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8,175 </w:t>
            </w:r>
          </w:p>
        </w:tc>
        <w:tc>
          <w:tcPr>
            <w:tcW w:w="1051" w:type="dxa"/>
            <w:shd w:val="clear" w:color="auto" w:fill="auto"/>
          </w:tcPr>
          <w:p w14:paraId="7647F9BF"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87,335 </w:t>
            </w:r>
          </w:p>
        </w:tc>
      </w:tr>
      <w:tr w:rsidR="00DB2DC2" w:rsidRPr="00381DAD" w14:paraId="111B1C4A" w14:textId="77777777" w:rsidTr="005528D6">
        <w:tc>
          <w:tcPr>
            <w:tcW w:w="5069" w:type="dxa"/>
            <w:gridSpan w:val="2"/>
            <w:vAlign w:val="center"/>
          </w:tcPr>
          <w:p w14:paraId="6F2B254D"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Day Treatment or Partial Hospitalization</w:t>
            </w:r>
          </w:p>
        </w:tc>
        <w:tc>
          <w:tcPr>
            <w:tcW w:w="1080" w:type="dxa"/>
          </w:tcPr>
          <w:p w14:paraId="6542DBEE"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993 </w:t>
            </w:r>
          </w:p>
        </w:tc>
        <w:tc>
          <w:tcPr>
            <w:tcW w:w="1080" w:type="dxa"/>
            <w:vMerge w:val="restart"/>
            <w:shd w:val="pct25" w:color="auto" w:fill="auto"/>
            <w:vAlign w:val="center"/>
          </w:tcPr>
          <w:p w14:paraId="50FC1519"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w:t>
            </w:r>
          </w:p>
          <w:p w14:paraId="71C23F8A"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w:t>
            </w:r>
          </w:p>
        </w:tc>
        <w:tc>
          <w:tcPr>
            <w:tcW w:w="1080" w:type="dxa"/>
          </w:tcPr>
          <w:p w14:paraId="440C7AB5"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133 </w:t>
            </w:r>
          </w:p>
        </w:tc>
        <w:tc>
          <w:tcPr>
            <w:tcW w:w="1051" w:type="dxa"/>
            <w:shd w:val="clear" w:color="auto" w:fill="auto"/>
          </w:tcPr>
          <w:p w14:paraId="2DCC490C"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1,126 </w:t>
            </w:r>
          </w:p>
        </w:tc>
      </w:tr>
      <w:tr w:rsidR="00DB2DC2" w:rsidRPr="00381DAD" w14:paraId="52F1517D" w14:textId="77777777" w:rsidTr="005528D6">
        <w:tc>
          <w:tcPr>
            <w:tcW w:w="5069" w:type="dxa"/>
            <w:gridSpan w:val="2"/>
            <w:vAlign w:val="center"/>
          </w:tcPr>
          <w:p w14:paraId="58190EEF"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Ambulatory Crisis Stabilization Services</w:t>
            </w:r>
          </w:p>
        </w:tc>
        <w:tc>
          <w:tcPr>
            <w:tcW w:w="1080" w:type="dxa"/>
          </w:tcPr>
          <w:p w14:paraId="545ECEAD"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27 </w:t>
            </w:r>
          </w:p>
        </w:tc>
        <w:tc>
          <w:tcPr>
            <w:tcW w:w="1080" w:type="dxa"/>
            <w:vMerge/>
            <w:shd w:val="clear" w:color="auto" w:fill="BFBFBF" w:themeFill="background1" w:themeFillShade="BF"/>
          </w:tcPr>
          <w:p w14:paraId="542B933F" w14:textId="77777777" w:rsidR="00DB2DC2" w:rsidRPr="009B5509" w:rsidRDefault="00DB2DC2" w:rsidP="005528D6">
            <w:pPr>
              <w:jc w:val="right"/>
              <w:rPr>
                <w:rFonts w:ascii="Calibri" w:hAnsi="Calibri" w:cs="Calibri"/>
                <w:sz w:val="20"/>
                <w:szCs w:val="20"/>
              </w:rPr>
            </w:pPr>
          </w:p>
        </w:tc>
        <w:tc>
          <w:tcPr>
            <w:tcW w:w="1080" w:type="dxa"/>
            <w:shd w:val="clear" w:color="auto" w:fill="auto"/>
          </w:tcPr>
          <w:p w14:paraId="26BCADE8"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1 </w:t>
            </w:r>
          </w:p>
        </w:tc>
        <w:tc>
          <w:tcPr>
            <w:tcW w:w="1051" w:type="dxa"/>
            <w:shd w:val="clear" w:color="auto" w:fill="auto"/>
          </w:tcPr>
          <w:p w14:paraId="2F6864D7"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27 </w:t>
            </w:r>
          </w:p>
        </w:tc>
      </w:tr>
      <w:tr w:rsidR="00DB2DC2" w:rsidRPr="00381DAD" w14:paraId="75D3B2B5" w14:textId="77777777" w:rsidTr="005528D6">
        <w:tc>
          <w:tcPr>
            <w:tcW w:w="5069" w:type="dxa"/>
            <w:gridSpan w:val="2"/>
            <w:vAlign w:val="center"/>
          </w:tcPr>
          <w:p w14:paraId="0ED009E5"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Rehabilitation or Habilitation</w:t>
            </w:r>
          </w:p>
        </w:tc>
        <w:tc>
          <w:tcPr>
            <w:tcW w:w="1080" w:type="dxa"/>
          </w:tcPr>
          <w:p w14:paraId="5E1855BB"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2,671 </w:t>
            </w:r>
          </w:p>
        </w:tc>
        <w:tc>
          <w:tcPr>
            <w:tcW w:w="1080" w:type="dxa"/>
          </w:tcPr>
          <w:p w14:paraId="669DC1F8"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1,946 </w:t>
            </w:r>
          </w:p>
        </w:tc>
        <w:tc>
          <w:tcPr>
            <w:tcW w:w="1080" w:type="dxa"/>
            <w:shd w:val="clear" w:color="auto" w:fill="BFBFBF" w:themeFill="background1" w:themeFillShade="BF"/>
          </w:tcPr>
          <w:p w14:paraId="4D273B88"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w:t>
            </w:r>
          </w:p>
        </w:tc>
        <w:tc>
          <w:tcPr>
            <w:tcW w:w="1051" w:type="dxa"/>
            <w:shd w:val="clear" w:color="auto" w:fill="auto"/>
          </w:tcPr>
          <w:p w14:paraId="7523B495"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4,613 </w:t>
            </w:r>
          </w:p>
        </w:tc>
      </w:tr>
      <w:tr w:rsidR="00DB2DC2" w:rsidRPr="00381DAD" w14:paraId="2AFD8434" w14:textId="77777777" w:rsidTr="005528D6">
        <w:tc>
          <w:tcPr>
            <w:tcW w:w="5069" w:type="dxa"/>
            <w:gridSpan w:val="2"/>
            <w:vAlign w:val="center"/>
          </w:tcPr>
          <w:p w14:paraId="557BD040" w14:textId="77777777" w:rsidR="00DB2DC2" w:rsidRPr="009B5509" w:rsidRDefault="00DB2DC2" w:rsidP="005528D6">
            <w:pPr>
              <w:rPr>
                <w:rFonts w:ascii="Calibri" w:hAnsi="Calibri" w:cs="Calibri"/>
                <w:b/>
                <w:sz w:val="20"/>
                <w:szCs w:val="20"/>
              </w:rPr>
            </w:pPr>
            <w:r w:rsidRPr="009B5509">
              <w:rPr>
                <w:rFonts w:ascii="Calibri" w:hAnsi="Calibri" w:cs="Calibri"/>
                <w:b/>
                <w:sz w:val="20"/>
                <w:szCs w:val="20"/>
              </w:rPr>
              <w:t>Total Day Support Services</w:t>
            </w:r>
            <w:r w:rsidRPr="009B5509">
              <w:rPr>
                <w:rFonts w:ascii="Calibri" w:hAnsi="Calibri" w:cs="Calibri"/>
                <w:b/>
                <w:sz w:val="20"/>
                <w:szCs w:val="20"/>
                <w:vertAlign w:val="superscript"/>
              </w:rPr>
              <w:t>1</w:t>
            </w:r>
          </w:p>
        </w:tc>
        <w:tc>
          <w:tcPr>
            <w:tcW w:w="1080" w:type="dxa"/>
          </w:tcPr>
          <w:p w14:paraId="09F102E4"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3,686 </w:t>
            </w:r>
          </w:p>
        </w:tc>
        <w:tc>
          <w:tcPr>
            <w:tcW w:w="1080" w:type="dxa"/>
          </w:tcPr>
          <w:p w14:paraId="7E089DEC"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1,946 </w:t>
            </w:r>
          </w:p>
        </w:tc>
        <w:tc>
          <w:tcPr>
            <w:tcW w:w="1080" w:type="dxa"/>
          </w:tcPr>
          <w:p w14:paraId="2B9F504F"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134 </w:t>
            </w:r>
          </w:p>
        </w:tc>
        <w:tc>
          <w:tcPr>
            <w:tcW w:w="1051" w:type="dxa"/>
            <w:shd w:val="clear" w:color="auto" w:fill="auto"/>
          </w:tcPr>
          <w:p w14:paraId="19D8BDFE"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5,761 </w:t>
            </w:r>
          </w:p>
        </w:tc>
      </w:tr>
      <w:tr w:rsidR="00DB2DC2" w:rsidRPr="00381DAD" w14:paraId="430D9757" w14:textId="77777777" w:rsidTr="005528D6">
        <w:tc>
          <w:tcPr>
            <w:tcW w:w="5069" w:type="dxa"/>
            <w:gridSpan w:val="2"/>
            <w:vAlign w:val="center"/>
          </w:tcPr>
          <w:p w14:paraId="5AC58AF1"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Sheltered Employment</w:t>
            </w:r>
          </w:p>
        </w:tc>
        <w:tc>
          <w:tcPr>
            <w:tcW w:w="1080" w:type="dxa"/>
          </w:tcPr>
          <w:p w14:paraId="67702766"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9 </w:t>
            </w:r>
          </w:p>
        </w:tc>
        <w:tc>
          <w:tcPr>
            <w:tcW w:w="1080" w:type="dxa"/>
          </w:tcPr>
          <w:p w14:paraId="54A46AD1"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349 </w:t>
            </w:r>
          </w:p>
        </w:tc>
        <w:tc>
          <w:tcPr>
            <w:tcW w:w="1080" w:type="dxa"/>
            <w:shd w:val="pct25" w:color="auto" w:fill="auto"/>
          </w:tcPr>
          <w:p w14:paraId="42A2A9F2"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w:t>
            </w:r>
          </w:p>
        </w:tc>
        <w:tc>
          <w:tcPr>
            <w:tcW w:w="1051" w:type="dxa"/>
            <w:shd w:val="clear" w:color="auto" w:fill="auto"/>
          </w:tcPr>
          <w:p w14:paraId="755E7078"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357 </w:t>
            </w:r>
          </w:p>
        </w:tc>
      </w:tr>
      <w:tr w:rsidR="00DB2DC2" w:rsidRPr="00381DAD" w14:paraId="7AFECB37" w14:textId="77777777" w:rsidTr="005528D6">
        <w:tc>
          <w:tcPr>
            <w:tcW w:w="5069" w:type="dxa"/>
            <w:gridSpan w:val="2"/>
            <w:vAlign w:val="center"/>
          </w:tcPr>
          <w:p w14:paraId="7B73C63C"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Individual Supported Employment</w:t>
            </w:r>
          </w:p>
        </w:tc>
        <w:tc>
          <w:tcPr>
            <w:tcW w:w="1080" w:type="dxa"/>
          </w:tcPr>
          <w:p w14:paraId="2388DFA3"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1,049 </w:t>
            </w:r>
          </w:p>
        </w:tc>
        <w:tc>
          <w:tcPr>
            <w:tcW w:w="1080" w:type="dxa"/>
          </w:tcPr>
          <w:p w14:paraId="54F84329"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974 </w:t>
            </w:r>
          </w:p>
        </w:tc>
        <w:tc>
          <w:tcPr>
            <w:tcW w:w="1080" w:type="dxa"/>
            <w:shd w:val="clear" w:color="auto" w:fill="FFFFFF"/>
          </w:tcPr>
          <w:p w14:paraId="533558A8"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33 </w:t>
            </w:r>
          </w:p>
        </w:tc>
        <w:tc>
          <w:tcPr>
            <w:tcW w:w="1051" w:type="dxa"/>
            <w:shd w:val="clear" w:color="auto" w:fill="auto"/>
          </w:tcPr>
          <w:p w14:paraId="4096F9ED"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2,051 </w:t>
            </w:r>
          </w:p>
        </w:tc>
      </w:tr>
      <w:tr w:rsidR="00DB2DC2" w:rsidRPr="00381DAD" w14:paraId="12102925" w14:textId="77777777" w:rsidTr="005528D6">
        <w:tc>
          <w:tcPr>
            <w:tcW w:w="5069" w:type="dxa"/>
            <w:gridSpan w:val="2"/>
            <w:vAlign w:val="center"/>
          </w:tcPr>
          <w:p w14:paraId="1BC7002F"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Group Supported Employment</w:t>
            </w:r>
          </w:p>
        </w:tc>
        <w:tc>
          <w:tcPr>
            <w:tcW w:w="1080" w:type="dxa"/>
          </w:tcPr>
          <w:p w14:paraId="3C5EC0A6"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4 </w:t>
            </w:r>
          </w:p>
        </w:tc>
        <w:tc>
          <w:tcPr>
            <w:tcW w:w="1080" w:type="dxa"/>
          </w:tcPr>
          <w:p w14:paraId="1A117547"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355 </w:t>
            </w:r>
          </w:p>
        </w:tc>
        <w:tc>
          <w:tcPr>
            <w:tcW w:w="1080" w:type="dxa"/>
            <w:shd w:val="pct25" w:color="auto" w:fill="auto"/>
          </w:tcPr>
          <w:p w14:paraId="2ACCD785"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w:t>
            </w:r>
          </w:p>
        </w:tc>
        <w:tc>
          <w:tcPr>
            <w:tcW w:w="1051" w:type="dxa"/>
            <w:shd w:val="clear" w:color="auto" w:fill="auto"/>
          </w:tcPr>
          <w:p w14:paraId="0F74E209"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359 </w:t>
            </w:r>
          </w:p>
        </w:tc>
      </w:tr>
      <w:tr w:rsidR="00DB2DC2" w:rsidRPr="00381DAD" w14:paraId="46B505D7" w14:textId="77777777" w:rsidTr="005528D6">
        <w:tc>
          <w:tcPr>
            <w:tcW w:w="5069" w:type="dxa"/>
            <w:gridSpan w:val="2"/>
            <w:vAlign w:val="center"/>
          </w:tcPr>
          <w:p w14:paraId="11073AEC" w14:textId="77777777" w:rsidR="00DB2DC2" w:rsidRPr="009B5509" w:rsidRDefault="00DB2DC2" w:rsidP="005528D6">
            <w:pPr>
              <w:rPr>
                <w:rFonts w:ascii="Calibri" w:hAnsi="Calibri" w:cs="Calibri"/>
                <w:b/>
                <w:sz w:val="20"/>
                <w:szCs w:val="20"/>
              </w:rPr>
            </w:pPr>
            <w:r w:rsidRPr="009B5509">
              <w:rPr>
                <w:rFonts w:ascii="Calibri" w:hAnsi="Calibri" w:cs="Calibri"/>
                <w:b/>
                <w:sz w:val="20"/>
                <w:szCs w:val="20"/>
              </w:rPr>
              <w:t>Total Employment Services</w:t>
            </w:r>
            <w:r w:rsidRPr="009B5509">
              <w:rPr>
                <w:rFonts w:ascii="Calibri" w:hAnsi="Calibri" w:cs="Calibri"/>
                <w:b/>
                <w:sz w:val="20"/>
                <w:szCs w:val="20"/>
                <w:vertAlign w:val="superscript"/>
              </w:rPr>
              <w:t>1</w:t>
            </w:r>
          </w:p>
        </w:tc>
        <w:tc>
          <w:tcPr>
            <w:tcW w:w="1080" w:type="dxa"/>
          </w:tcPr>
          <w:p w14:paraId="5D6C3857"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1,062 </w:t>
            </w:r>
          </w:p>
        </w:tc>
        <w:tc>
          <w:tcPr>
            <w:tcW w:w="1080" w:type="dxa"/>
          </w:tcPr>
          <w:p w14:paraId="1BBA3BD2"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1,610 </w:t>
            </w:r>
          </w:p>
        </w:tc>
        <w:tc>
          <w:tcPr>
            <w:tcW w:w="1080" w:type="dxa"/>
            <w:shd w:val="clear" w:color="auto" w:fill="FFFFFF"/>
          </w:tcPr>
          <w:p w14:paraId="5295B570"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33 </w:t>
            </w:r>
          </w:p>
        </w:tc>
        <w:tc>
          <w:tcPr>
            <w:tcW w:w="1051" w:type="dxa"/>
            <w:shd w:val="clear" w:color="auto" w:fill="auto"/>
          </w:tcPr>
          <w:p w14:paraId="545E74D6"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2,699 </w:t>
            </w:r>
          </w:p>
        </w:tc>
      </w:tr>
      <w:tr w:rsidR="00DB2DC2" w:rsidRPr="00381DAD" w14:paraId="040A09B9" w14:textId="77777777" w:rsidTr="005528D6">
        <w:tc>
          <w:tcPr>
            <w:tcW w:w="5069" w:type="dxa"/>
            <w:gridSpan w:val="2"/>
            <w:vAlign w:val="center"/>
          </w:tcPr>
          <w:p w14:paraId="29ADE99D"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Highly Intensive Residential Services</w:t>
            </w:r>
          </w:p>
        </w:tc>
        <w:tc>
          <w:tcPr>
            <w:tcW w:w="1080" w:type="dxa"/>
          </w:tcPr>
          <w:p w14:paraId="0FE80414"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82 </w:t>
            </w:r>
          </w:p>
        </w:tc>
        <w:tc>
          <w:tcPr>
            <w:tcW w:w="1080" w:type="dxa"/>
          </w:tcPr>
          <w:p w14:paraId="52F13726"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257 </w:t>
            </w:r>
          </w:p>
        </w:tc>
        <w:tc>
          <w:tcPr>
            <w:tcW w:w="1080" w:type="dxa"/>
          </w:tcPr>
          <w:p w14:paraId="0ADD9C60"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1,155 </w:t>
            </w:r>
          </w:p>
        </w:tc>
        <w:tc>
          <w:tcPr>
            <w:tcW w:w="1051" w:type="dxa"/>
            <w:shd w:val="clear" w:color="auto" w:fill="auto"/>
          </w:tcPr>
          <w:p w14:paraId="72C4D41B"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1,494 </w:t>
            </w:r>
          </w:p>
        </w:tc>
      </w:tr>
      <w:tr w:rsidR="00DB2DC2" w:rsidRPr="00381DAD" w14:paraId="58F73E78" w14:textId="77777777" w:rsidTr="005528D6">
        <w:tc>
          <w:tcPr>
            <w:tcW w:w="5069" w:type="dxa"/>
            <w:gridSpan w:val="2"/>
            <w:vAlign w:val="center"/>
          </w:tcPr>
          <w:p w14:paraId="10239FB4"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Residential Crisis Stabilization Services</w:t>
            </w:r>
          </w:p>
        </w:tc>
        <w:tc>
          <w:tcPr>
            <w:tcW w:w="1080" w:type="dxa"/>
          </w:tcPr>
          <w:p w14:paraId="41B27749"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2,518 </w:t>
            </w:r>
          </w:p>
        </w:tc>
        <w:tc>
          <w:tcPr>
            <w:tcW w:w="1080" w:type="dxa"/>
            <w:shd w:val="clear" w:color="auto" w:fill="auto"/>
          </w:tcPr>
          <w:p w14:paraId="7696FC84"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271 </w:t>
            </w:r>
          </w:p>
        </w:tc>
        <w:tc>
          <w:tcPr>
            <w:tcW w:w="1080" w:type="dxa"/>
          </w:tcPr>
          <w:p w14:paraId="19623B5B"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61 </w:t>
            </w:r>
          </w:p>
        </w:tc>
        <w:tc>
          <w:tcPr>
            <w:tcW w:w="1051" w:type="dxa"/>
            <w:shd w:val="clear" w:color="auto" w:fill="auto"/>
          </w:tcPr>
          <w:p w14:paraId="688BDF02"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2,821 </w:t>
            </w:r>
          </w:p>
        </w:tc>
      </w:tr>
      <w:tr w:rsidR="00DB2DC2" w:rsidRPr="00381DAD" w14:paraId="75AE5292" w14:textId="77777777" w:rsidTr="005528D6">
        <w:tc>
          <w:tcPr>
            <w:tcW w:w="5069" w:type="dxa"/>
            <w:gridSpan w:val="2"/>
            <w:vAlign w:val="center"/>
          </w:tcPr>
          <w:p w14:paraId="20246D45"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Intensive Residential Services</w:t>
            </w:r>
          </w:p>
        </w:tc>
        <w:tc>
          <w:tcPr>
            <w:tcW w:w="1080" w:type="dxa"/>
          </w:tcPr>
          <w:p w14:paraId="3080A438"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213 </w:t>
            </w:r>
          </w:p>
        </w:tc>
        <w:tc>
          <w:tcPr>
            <w:tcW w:w="1080" w:type="dxa"/>
          </w:tcPr>
          <w:p w14:paraId="5228BC01"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569 </w:t>
            </w:r>
          </w:p>
        </w:tc>
        <w:tc>
          <w:tcPr>
            <w:tcW w:w="1080" w:type="dxa"/>
          </w:tcPr>
          <w:p w14:paraId="7FC14D06"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1,191 </w:t>
            </w:r>
          </w:p>
        </w:tc>
        <w:tc>
          <w:tcPr>
            <w:tcW w:w="1051" w:type="dxa"/>
            <w:shd w:val="clear" w:color="auto" w:fill="auto"/>
          </w:tcPr>
          <w:p w14:paraId="35B4D724"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1,971 </w:t>
            </w:r>
          </w:p>
        </w:tc>
      </w:tr>
      <w:tr w:rsidR="00DB2DC2" w:rsidRPr="00381DAD" w14:paraId="300E310F" w14:textId="77777777" w:rsidTr="005528D6">
        <w:tc>
          <w:tcPr>
            <w:tcW w:w="5069" w:type="dxa"/>
            <w:gridSpan w:val="2"/>
            <w:vAlign w:val="center"/>
          </w:tcPr>
          <w:p w14:paraId="3BA2AAB8"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Supervised Residential Services</w:t>
            </w:r>
          </w:p>
        </w:tc>
        <w:tc>
          <w:tcPr>
            <w:tcW w:w="1080" w:type="dxa"/>
          </w:tcPr>
          <w:p w14:paraId="6A7C1C19"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1,121 </w:t>
            </w:r>
          </w:p>
        </w:tc>
        <w:tc>
          <w:tcPr>
            <w:tcW w:w="1080" w:type="dxa"/>
          </w:tcPr>
          <w:p w14:paraId="364EE152"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473 </w:t>
            </w:r>
          </w:p>
        </w:tc>
        <w:tc>
          <w:tcPr>
            <w:tcW w:w="1080" w:type="dxa"/>
          </w:tcPr>
          <w:p w14:paraId="0B26D265"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405 </w:t>
            </w:r>
          </w:p>
        </w:tc>
        <w:tc>
          <w:tcPr>
            <w:tcW w:w="1051" w:type="dxa"/>
            <w:shd w:val="clear" w:color="auto" w:fill="auto"/>
          </w:tcPr>
          <w:p w14:paraId="6B622ABB"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1,996 </w:t>
            </w:r>
          </w:p>
        </w:tc>
      </w:tr>
      <w:tr w:rsidR="00DB2DC2" w:rsidRPr="00381DAD" w14:paraId="77BBE0C2" w14:textId="77777777" w:rsidTr="005528D6">
        <w:tc>
          <w:tcPr>
            <w:tcW w:w="5069" w:type="dxa"/>
            <w:gridSpan w:val="2"/>
            <w:vAlign w:val="center"/>
          </w:tcPr>
          <w:p w14:paraId="2B7CE04C" w14:textId="77777777" w:rsidR="00DB2DC2" w:rsidRPr="009B5509" w:rsidRDefault="00DB2DC2" w:rsidP="005528D6">
            <w:pPr>
              <w:rPr>
                <w:rFonts w:ascii="Calibri" w:hAnsi="Calibri" w:cs="Calibri"/>
                <w:sz w:val="20"/>
                <w:szCs w:val="20"/>
              </w:rPr>
            </w:pPr>
            <w:r w:rsidRPr="009B5509">
              <w:rPr>
                <w:rFonts w:ascii="Calibri" w:hAnsi="Calibri" w:cs="Calibri"/>
                <w:sz w:val="20"/>
                <w:szCs w:val="20"/>
              </w:rPr>
              <w:t>Supportive Residential Services</w:t>
            </w:r>
          </w:p>
        </w:tc>
        <w:tc>
          <w:tcPr>
            <w:tcW w:w="1080" w:type="dxa"/>
          </w:tcPr>
          <w:p w14:paraId="70B580E6"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3,043 </w:t>
            </w:r>
          </w:p>
        </w:tc>
        <w:tc>
          <w:tcPr>
            <w:tcW w:w="1080" w:type="dxa"/>
          </w:tcPr>
          <w:p w14:paraId="7E1EE7B8"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544 </w:t>
            </w:r>
          </w:p>
        </w:tc>
        <w:tc>
          <w:tcPr>
            <w:tcW w:w="1080" w:type="dxa"/>
          </w:tcPr>
          <w:p w14:paraId="02AC7AE7"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50 </w:t>
            </w:r>
          </w:p>
        </w:tc>
        <w:tc>
          <w:tcPr>
            <w:tcW w:w="1051" w:type="dxa"/>
            <w:shd w:val="clear" w:color="auto" w:fill="auto"/>
          </w:tcPr>
          <w:p w14:paraId="2DF3A98A" w14:textId="77777777" w:rsidR="00DB2DC2" w:rsidRPr="009B5509" w:rsidRDefault="00DB2DC2" w:rsidP="005528D6">
            <w:pPr>
              <w:jc w:val="right"/>
              <w:rPr>
                <w:rFonts w:ascii="Calibri" w:hAnsi="Calibri" w:cs="Calibri"/>
                <w:sz w:val="20"/>
                <w:szCs w:val="20"/>
              </w:rPr>
            </w:pPr>
            <w:r w:rsidRPr="009B5509">
              <w:rPr>
                <w:rFonts w:ascii="Calibri" w:hAnsi="Calibri" w:cs="Calibri"/>
                <w:sz w:val="20"/>
                <w:szCs w:val="20"/>
              </w:rPr>
              <w:t xml:space="preserve"> 3,618 </w:t>
            </w:r>
          </w:p>
        </w:tc>
      </w:tr>
      <w:tr w:rsidR="00DB2DC2" w:rsidRPr="00381DAD" w14:paraId="1C0E5E9B" w14:textId="77777777" w:rsidTr="005528D6">
        <w:tc>
          <w:tcPr>
            <w:tcW w:w="5069" w:type="dxa"/>
            <w:gridSpan w:val="2"/>
            <w:vAlign w:val="center"/>
          </w:tcPr>
          <w:p w14:paraId="7DAA6A35" w14:textId="77777777" w:rsidR="00DB2DC2" w:rsidRPr="009B5509" w:rsidRDefault="00DB2DC2" w:rsidP="005528D6">
            <w:pPr>
              <w:rPr>
                <w:rFonts w:ascii="Calibri" w:hAnsi="Calibri" w:cs="Calibri"/>
                <w:b/>
                <w:sz w:val="20"/>
                <w:szCs w:val="20"/>
              </w:rPr>
            </w:pPr>
            <w:r w:rsidRPr="009B5509">
              <w:rPr>
                <w:rFonts w:ascii="Calibri" w:hAnsi="Calibri" w:cs="Calibri"/>
                <w:b/>
                <w:sz w:val="20"/>
                <w:szCs w:val="20"/>
              </w:rPr>
              <w:t>Total Residential Services</w:t>
            </w:r>
            <w:r w:rsidRPr="009B5509">
              <w:rPr>
                <w:rFonts w:ascii="Calibri" w:hAnsi="Calibri" w:cs="Calibri"/>
                <w:b/>
                <w:sz w:val="20"/>
                <w:szCs w:val="20"/>
                <w:vertAlign w:val="superscript"/>
              </w:rPr>
              <w:t>1</w:t>
            </w:r>
          </w:p>
        </w:tc>
        <w:tc>
          <w:tcPr>
            <w:tcW w:w="1080" w:type="dxa"/>
          </w:tcPr>
          <w:p w14:paraId="0DB97DA6"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6,698 </w:t>
            </w:r>
          </w:p>
        </w:tc>
        <w:tc>
          <w:tcPr>
            <w:tcW w:w="1080" w:type="dxa"/>
          </w:tcPr>
          <w:p w14:paraId="20160FAA"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2,063 </w:t>
            </w:r>
          </w:p>
        </w:tc>
        <w:tc>
          <w:tcPr>
            <w:tcW w:w="1080" w:type="dxa"/>
          </w:tcPr>
          <w:p w14:paraId="0963B5BE"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2,364 </w:t>
            </w:r>
          </w:p>
        </w:tc>
        <w:tc>
          <w:tcPr>
            <w:tcW w:w="1051" w:type="dxa"/>
            <w:shd w:val="clear" w:color="auto" w:fill="auto"/>
          </w:tcPr>
          <w:p w14:paraId="513FEA5A" w14:textId="77777777" w:rsidR="00DB2DC2" w:rsidRPr="009B5509" w:rsidRDefault="00DB2DC2" w:rsidP="005528D6">
            <w:pPr>
              <w:jc w:val="right"/>
              <w:rPr>
                <w:rFonts w:ascii="Calibri" w:hAnsi="Calibri" w:cs="Calibri"/>
                <w:b/>
                <w:sz w:val="20"/>
                <w:szCs w:val="20"/>
              </w:rPr>
            </w:pPr>
            <w:r w:rsidRPr="009B5509">
              <w:rPr>
                <w:rFonts w:ascii="Calibri" w:hAnsi="Calibri" w:cs="Calibri"/>
                <w:sz w:val="20"/>
                <w:szCs w:val="20"/>
              </w:rPr>
              <w:t xml:space="preserve"> 10,918 </w:t>
            </w:r>
          </w:p>
        </w:tc>
      </w:tr>
    </w:tbl>
    <w:p w14:paraId="00B5C531" w14:textId="77777777" w:rsidR="005528D6" w:rsidRDefault="005528D6" w:rsidP="00990E2B">
      <w:pPr>
        <w:pStyle w:val="NoSpacing"/>
        <w:rPr>
          <w:rFonts w:ascii="Times New Roman" w:hAnsi="Times New Roman"/>
          <w:b/>
          <w:i/>
          <w:sz w:val="20"/>
          <w:szCs w:val="20"/>
          <w:vertAlign w:val="superscript"/>
        </w:rPr>
      </w:pPr>
    </w:p>
    <w:p w14:paraId="4D0F8759" w14:textId="585A91A3" w:rsidR="00990E2B" w:rsidRPr="00652036" w:rsidRDefault="005528D6" w:rsidP="00990E2B">
      <w:pPr>
        <w:pStyle w:val="NoSpacing"/>
        <w:rPr>
          <w:rFonts w:ascii="Times New Roman" w:hAnsi="Times New Roman"/>
          <w:i/>
          <w:sz w:val="20"/>
          <w:szCs w:val="20"/>
        </w:rPr>
      </w:pPr>
      <w:r>
        <w:rPr>
          <w:rFonts w:ascii="Times New Roman" w:hAnsi="Times New Roman"/>
          <w:b/>
          <w:i/>
          <w:sz w:val="20"/>
          <w:szCs w:val="20"/>
          <w:vertAlign w:val="superscript"/>
        </w:rPr>
        <w:br/>
      </w:r>
      <w:r w:rsidR="00990E2B" w:rsidRPr="00652036">
        <w:rPr>
          <w:rFonts w:ascii="Times New Roman" w:hAnsi="Times New Roman"/>
          <w:b/>
          <w:i/>
          <w:sz w:val="20"/>
          <w:szCs w:val="20"/>
          <w:vertAlign w:val="superscript"/>
        </w:rPr>
        <w:t>1</w:t>
      </w:r>
      <w:r w:rsidR="00990E2B" w:rsidRPr="00652036">
        <w:rPr>
          <w:rFonts w:ascii="Times New Roman" w:hAnsi="Times New Roman"/>
          <w:i/>
          <w:sz w:val="20"/>
          <w:szCs w:val="20"/>
        </w:rPr>
        <w:t xml:space="preserve"> Numbers</w:t>
      </w:r>
      <w:r w:rsidR="00990E2B" w:rsidRPr="00652036">
        <w:rPr>
          <w:rFonts w:ascii="Times New Roman" w:hAnsi="Times New Roman"/>
          <w:b/>
          <w:i/>
          <w:sz w:val="20"/>
          <w:szCs w:val="20"/>
        </w:rPr>
        <w:t xml:space="preserve"> </w:t>
      </w:r>
      <w:r w:rsidR="00990E2B" w:rsidRPr="00652036">
        <w:rPr>
          <w:rFonts w:ascii="Times New Roman" w:hAnsi="Times New Roman"/>
          <w:i/>
          <w:sz w:val="20"/>
          <w:szCs w:val="20"/>
        </w:rPr>
        <w:t xml:space="preserve">in </w:t>
      </w:r>
      <w:r w:rsidR="00990E2B" w:rsidRPr="00652036">
        <w:rPr>
          <w:rFonts w:ascii="Times New Roman" w:hAnsi="Times New Roman"/>
          <w:b/>
          <w:i/>
          <w:sz w:val="20"/>
          <w:szCs w:val="20"/>
        </w:rPr>
        <w:t xml:space="preserve">Total Services </w:t>
      </w:r>
      <w:r w:rsidR="00990E2B" w:rsidRPr="00652036">
        <w:rPr>
          <w:rFonts w:ascii="Times New Roman" w:hAnsi="Times New Roman"/>
          <w:i/>
          <w:sz w:val="20"/>
          <w:szCs w:val="20"/>
        </w:rPr>
        <w:t>rows</w:t>
      </w:r>
      <w:r w:rsidR="00990E2B" w:rsidRPr="00652036">
        <w:rPr>
          <w:rFonts w:ascii="Times New Roman" w:hAnsi="Times New Roman"/>
          <w:b/>
          <w:i/>
          <w:sz w:val="20"/>
          <w:szCs w:val="20"/>
        </w:rPr>
        <w:t xml:space="preserve"> </w:t>
      </w:r>
      <w:r w:rsidR="00990E2B" w:rsidRPr="00652036">
        <w:rPr>
          <w:rFonts w:ascii="Times New Roman" w:hAnsi="Times New Roman"/>
          <w:i/>
          <w:sz w:val="20"/>
          <w:szCs w:val="20"/>
        </w:rPr>
        <w:t>are unduplicated for the preceding services in each column.</w:t>
      </w:r>
    </w:p>
    <w:p w14:paraId="67C847E8" w14:textId="77777777" w:rsidR="00990E2B" w:rsidRPr="00652036" w:rsidRDefault="00990E2B" w:rsidP="00990E2B">
      <w:pPr>
        <w:pStyle w:val="NoSpacing"/>
        <w:rPr>
          <w:rFonts w:ascii="Times New Roman" w:hAnsi="Times New Roman"/>
          <w:i/>
          <w:sz w:val="20"/>
          <w:szCs w:val="20"/>
        </w:rPr>
      </w:pPr>
      <w:r w:rsidRPr="00652036">
        <w:rPr>
          <w:rFonts w:ascii="Times New Roman" w:hAnsi="Times New Roman"/>
          <w:b/>
          <w:i/>
          <w:sz w:val="20"/>
          <w:szCs w:val="20"/>
          <w:vertAlign w:val="superscript"/>
        </w:rPr>
        <w:t xml:space="preserve">2 </w:t>
      </w:r>
      <w:r w:rsidRPr="00652036">
        <w:rPr>
          <w:rFonts w:ascii="Times New Roman" w:hAnsi="Times New Roman"/>
          <w:i/>
          <w:sz w:val="20"/>
          <w:szCs w:val="20"/>
        </w:rPr>
        <w:t>Figures in this column are unduplicated numbers of individuals across program areas.</w:t>
      </w:r>
    </w:p>
    <w:p w14:paraId="097B82AD" w14:textId="77777777" w:rsidR="00990E2B" w:rsidRDefault="00990E2B" w:rsidP="00990E2B">
      <w:pPr>
        <w:pStyle w:val="NoSpacing"/>
        <w:rPr>
          <w:rFonts w:ascii="Times New Roman" w:hAnsi="Times New Roman"/>
          <w:i/>
          <w:sz w:val="20"/>
          <w:szCs w:val="20"/>
        </w:rPr>
      </w:pPr>
      <w:r w:rsidRPr="00652036">
        <w:rPr>
          <w:rFonts w:ascii="Times New Roman" w:hAnsi="Times New Roman"/>
          <w:b/>
          <w:i/>
          <w:sz w:val="20"/>
          <w:szCs w:val="20"/>
          <w:vertAlign w:val="superscript"/>
        </w:rPr>
        <w:t xml:space="preserve">3 </w:t>
      </w:r>
      <w:r w:rsidRPr="00652036">
        <w:rPr>
          <w:rFonts w:ascii="Times New Roman" w:hAnsi="Times New Roman"/>
          <w:i/>
          <w:sz w:val="20"/>
          <w:szCs w:val="20"/>
        </w:rPr>
        <w:t>HDMC an</w:t>
      </w:r>
      <w:r>
        <w:rPr>
          <w:rFonts w:ascii="Times New Roman" w:hAnsi="Times New Roman"/>
          <w:i/>
          <w:sz w:val="20"/>
          <w:szCs w:val="20"/>
        </w:rPr>
        <w:t xml:space="preserve">d VCBR are not state hospitals, </w:t>
      </w:r>
      <w:r w:rsidRPr="00652036">
        <w:rPr>
          <w:rFonts w:ascii="Times New Roman" w:hAnsi="Times New Roman"/>
          <w:i/>
          <w:sz w:val="20"/>
          <w:szCs w:val="20"/>
        </w:rPr>
        <w:t>number of individuals are shown in the total column.</w:t>
      </w:r>
    </w:p>
    <w:p w14:paraId="38E49499" w14:textId="7A46295E" w:rsidR="00990E2B" w:rsidRPr="00B46CB8" w:rsidRDefault="00990E2B" w:rsidP="00990E2B">
      <w:r w:rsidRPr="00B46CB8">
        <w:lastRenderedPageBreak/>
        <w:t xml:space="preserve">Figure </w:t>
      </w:r>
      <w:r>
        <w:t>3</w:t>
      </w:r>
      <w:r w:rsidRPr="00B46CB8">
        <w:t>, below, shows the ages of people served by CSBs in FY 202</w:t>
      </w:r>
      <w:r>
        <w:t>2</w:t>
      </w:r>
      <w:r w:rsidRPr="00B46CB8">
        <w:t>.</w:t>
      </w:r>
    </w:p>
    <w:p w14:paraId="449CC4D7" w14:textId="77777777" w:rsidR="003F400A" w:rsidRPr="00F047E1" w:rsidRDefault="003F400A" w:rsidP="00F46923">
      <w:pPr>
        <w:keepNext/>
        <w:rPr>
          <w:rFonts w:ascii="Calibri" w:hAnsi="Calibri" w:cs="Calibri"/>
          <w:sz w:val="20"/>
          <w:szCs w:val="20"/>
          <w:highlight w:val="cyan"/>
        </w:rPr>
      </w:pPr>
    </w:p>
    <w:tbl>
      <w:tblPr>
        <w:tblW w:w="936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9" w:type="dxa"/>
          <w:right w:w="29" w:type="dxa"/>
        </w:tblCellMar>
        <w:tblLook w:val="04A0" w:firstRow="1" w:lastRow="0" w:firstColumn="1" w:lastColumn="0" w:noHBand="0" w:noVBand="1"/>
      </w:tblPr>
      <w:tblGrid>
        <w:gridCol w:w="1020"/>
        <w:gridCol w:w="1680"/>
        <w:gridCol w:w="1710"/>
        <w:gridCol w:w="1620"/>
        <w:gridCol w:w="1752"/>
        <w:gridCol w:w="1578"/>
      </w:tblGrid>
      <w:tr w:rsidR="003F400A" w:rsidRPr="009B5509" w14:paraId="03D19BBA" w14:textId="77777777" w:rsidTr="00A61A4B">
        <w:trPr>
          <w:jc w:val="center"/>
        </w:trPr>
        <w:tc>
          <w:tcPr>
            <w:tcW w:w="9360" w:type="dxa"/>
            <w:gridSpan w:val="6"/>
            <w:vAlign w:val="center"/>
          </w:tcPr>
          <w:p w14:paraId="4D384C3D" w14:textId="783E3269" w:rsidR="003F400A" w:rsidRPr="009B5509" w:rsidRDefault="003F400A" w:rsidP="00F46923">
            <w:pPr>
              <w:jc w:val="center"/>
              <w:rPr>
                <w:rFonts w:ascii="Calibri" w:hAnsi="Calibri" w:cs="Calibri"/>
                <w:b/>
                <w:sz w:val="20"/>
                <w:szCs w:val="20"/>
              </w:rPr>
            </w:pPr>
            <w:r w:rsidRPr="009B5509">
              <w:rPr>
                <w:rFonts w:ascii="Calibri" w:hAnsi="Calibri" w:cs="Calibri"/>
                <w:b/>
                <w:color w:val="365F91" w:themeColor="accent1" w:themeShade="BF"/>
                <w:sz w:val="20"/>
                <w:szCs w:val="20"/>
              </w:rPr>
              <w:t xml:space="preserve">Figure </w:t>
            </w:r>
            <w:r w:rsidR="007E5D0B" w:rsidRPr="009B5509">
              <w:rPr>
                <w:rFonts w:ascii="Calibri" w:hAnsi="Calibri" w:cs="Calibri"/>
                <w:b/>
                <w:color w:val="365F91" w:themeColor="accent1" w:themeShade="BF"/>
                <w:sz w:val="20"/>
                <w:szCs w:val="20"/>
              </w:rPr>
              <w:t>3</w:t>
            </w:r>
            <w:r w:rsidRPr="009B5509">
              <w:rPr>
                <w:rFonts w:ascii="Calibri" w:hAnsi="Calibri" w:cs="Calibri"/>
                <w:b/>
                <w:color w:val="365F91" w:themeColor="accent1" w:themeShade="BF"/>
                <w:sz w:val="20"/>
                <w:szCs w:val="20"/>
              </w:rPr>
              <w:t xml:space="preserve">:  Ages of Individuals Who Received Services </w:t>
            </w:r>
            <w:r w:rsidR="00E3270D" w:rsidRPr="009B5509">
              <w:rPr>
                <w:rFonts w:ascii="Calibri" w:hAnsi="Calibri" w:cs="Calibri"/>
                <w:b/>
                <w:color w:val="365F91" w:themeColor="accent1" w:themeShade="BF"/>
                <w:sz w:val="20"/>
                <w:szCs w:val="20"/>
              </w:rPr>
              <w:t>from</w:t>
            </w:r>
            <w:r w:rsidRPr="009B5509">
              <w:rPr>
                <w:rFonts w:ascii="Calibri" w:hAnsi="Calibri" w:cs="Calibri"/>
                <w:b/>
                <w:color w:val="365F91" w:themeColor="accent1" w:themeShade="BF"/>
                <w:sz w:val="20"/>
                <w:szCs w:val="20"/>
              </w:rPr>
              <w:t xml:space="preserve"> CSBs in FY 202</w:t>
            </w:r>
            <w:r w:rsidR="004023E5" w:rsidRPr="009B5509">
              <w:rPr>
                <w:rFonts w:ascii="Calibri" w:hAnsi="Calibri" w:cs="Calibri"/>
                <w:b/>
                <w:color w:val="365F91" w:themeColor="accent1" w:themeShade="BF"/>
                <w:sz w:val="20"/>
                <w:szCs w:val="20"/>
              </w:rPr>
              <w:t>2</w:t>
            </w:r>
            <w:r w:rsidRPr="009B5509">
              <w:rPr>
                <w:rFonts w:ascii="Calibri" w:hAnsi="Calibri" w:cs="Calibri"/>
                <w:b/>
                <w:color w:val="365F91" w:themeColor="accent1" w:themeShade="BF"/>
                <w:sz w:val="20"/>
                <w:szCs w:val="20"/>
              </w:rPr>
              <w:t xml:space="preserve"> </w:t>
            </w:r>
          </w:p>
        </w:tc>
      </w:tr>
      <w:tr w:rsidR="003F400A" w:rsidRPr="009B5509" w14:paraId="17133883" w14:textId="77777777" w:rsidTr="00A61A4B">
        <w:trPr>
          <w:jc w:val="center"/>
        </w:trPr>
        <w:tc>
          <w:tcPr>
            <w:tcW w:w="1020" w:type="dxa"/>
            <w:vAlign w:val="center"/>
          </w:tcPr>
          <w:p w14:paraId="1B4FE0B3" w14:textId="77777777" w:rsidR="003F400A" w:rsidRPr="009B5509" w:rsidRDefault="003F400A" w:rsidP="00F46923">
            <w:pPr>
              <w:jc w:val="center"/>
              <w:rPr>
                <w:rFonts w:ascii="Calibri" w:hAnsi="Calibri" w:cs="Calibri"/>
                <w:sz w:val="20"/>
                <w:szCs w:val="20"/>
              </w:rPr>
            </w:pPr>
            <w:r w:rsidRPr="009B5509">
              <w:rPr>
                <w:rFonts w:ascii="Calibri" w:hAnsi="Calibri" w:cs="Calibri"/>
                <w:sz w:val="20"/>
                <w:szCs w:val="20"/>
              </w:rPr>
              <w:t>Ages</w:t>
            </w:r>
          </w:p>
        </w:tc>
        <w:tc>
          <w:tcPr>
            <w:tcW w:w="1680" w:type="dxa"/>
            <w:vAlign w:val="center"/>
          </w:tcPr>
          <w:p w14:paraId="626BFA5B" w14:textId="77777777" w:rsidR="003F400A" w:rsidRPr="009B5509" w:rsidRDefault="003F400A" w:rsidP="00F46923">
            <w:pPr>
              <w:jc w:val="center"/>
              <w:rPr>
                <w:rFonts w:ascii="Calibri" w:hAnsi="Calibri" w:cs="Calibri"/>
                <w:sz w:val="20"/>
                <w:szCs w:val="20"/>
              </w:rPr>
            </w:pPr>
            <w:r w:rsidRPr="009B5509">
              <w:rPr>
                <w:rFonts w:ascii="Calibri" w:hAnsi="Calibri" w:cs="Calibri"/>
                <w:sz w:val="20"/>
                <w:szCs w:val="20"/>
              </w:rPr>
              <w:t>MH Services</w:t>
            </w:r>
          </w:p>
        </w:tc>
        <w:tc>
          <w:tcPr>
            <w:tcW w:w="1710" w:type="dxa"/>
            <w:vAlign w:val="center"/>
          </w:tcPr>
          <w:p w14:paraId="63707243" w14:textId="63DF7A63" w:rsidR="003F400A" w:rsidRPr="009B5509" w:rsidRDefault="00A848C5" w:rsidP="00F46923">
            <w:pPr>
              <w:jc w:val="center"/>
              <w:rPr>
                <w:rFonts w:ascii="Calibri" w:hAnsi="Calibri" w:cs="Calibri"/>
                <w:sz w:val="20"/>
                <w:szCs w:val="20"/>
              </w:rPr>
            </w:pPr>
            <w:r>
              <w:rPr>
                <w:rFonts w:ascii="Calibri" w:hAnsi="Calibri" w:cs="Calibri"/>
                <w:sz w:val="20"/>
                <w:szCs w:val="20"/>
              </w:rPr>
              <w:t>DD</w:t>
            </w:r>
            <w:r w:rsidR="003F400A" w:rsidRPr="009B5509">
              <w:rPr>
                <w:rFonts w:ascii="Calibri" w:hAnsi="Calibri" w:cs="Calibri"/>
                <w:sz w:val="20"/>
                <w:szCs w:val="20"/>
              </w:rPr>
              <w:t xml:space="preserve"> Services</w:t>
            </w:r>
          </w:p>
        </w:tc>
        <w:tc>
          <w:tcPr>
            <w:tcW w:w="1620" w:type="dxa"/>
            <w:vAlign w:val="center"/>
          </w:tcPr>
          <w:p w14:paraId="6BDC622F" w14:textId="77777777" w:rsidR="003F400A" w:rsidRPr="009B5509" w:rsidRDefault="003F400A" w:rsidP="00F46923">
            <w:pPr>
              <w:jc w:val="center"/>
              <w:rPr>
                <w:rFonts w:ascii="Calibri" w:hAnsi="Calibri" w:cs="Calibri"/>
                <w:sz w:val="20"/>
                <w:szCs w:val="20"/>
              </w:rPr>
            </w:pPr>
            <w:r w:rsidRPr="009B5509">
              <w:rPr>
                <w:rFonts w:ascii="Calibri" w:hAnsi="Calibri" w:cs="Calibri"/>
                <w:sz w:val="20"/>
                <w:szCs w:val="20"/>
              </w:rPr>
              <w:t>SUD Services</w:t>
            </w:r>
          </w:p>
        </w:tc>
        <w:tc>
          <w:tcPr>
            <w:tcW w:w="1752" w:type="dxa"/>
            <w:vAlign w:val="center"/>
          </w:tcPr>
          <w:p w14:paraId="00AF89DB" w14:textId="77777777" w:rsidR="003F400A" w:rsidRPr="009B5509" w:rsidRDefault="003F400A" w:rsidP="00F46923">
            <w:pPr>
              <w:jc w:val="center"/>
              <w:rPr>
                <w:rFonts w:ascii="Calibri" w:hAnsi="Calibri" w:cs="Calibri"/>
                <w:sz w:val="20"/>
                <w:szCs w:val="20"/>
              </w:rPr>
            </w:pPr>
            <w:r w:rsidRPr="009B5509">
              <w:rPr>
                <w:rFonts w:ascii="Calibri" w:hAnsi="Calibri" w:cs="Calibri"/>
                <w:sz w:val="20"/>
                <w:szCs w:val="20"/>
              </w:rPr>
              <w:t>Emergency</w:t>
            </w:r>
          </w:p>
        </w:tc>
        <w:tc>
          <w:tcPr>
            <w:tcW w:w="1578" w:type="dxa"/>
            <w:vAlign w:val="center"/>
          </w:tcPr>
          <w:p w14:paraId="694855DF" w14:textId="77777777" w:rsidR="003F400A" w:rsidRPr="009B5509" w:rsidRDefault="003F400A" w:rsidP="00F46923">
            <w:pPr>
              <w:jc w:val="center"/>
              <w:rPr>
                <w:rFonts w:ascii="Calibri" w:hAnsi="Calibri" w:cs="Calibri"/>
                <w:sz w:val="20"/>
                <w:szCs w:val="20"/>
              </w:rPr>
            </w:pPr>
            <w:r w:rsidRPr="009B5509">
              <w:rPr>
                <w:rFonts w:ascii="Calibri" w:hAnsi="Calibri" w:cs="Calibri"/>
                <w:sz w:val="20"/>
                <w:szCs w:val="20"/>
              </w:rPr>
              <w:t>Ancillary</w:t>
            </w:r>
          </w:p>
        </w:tc>
      </w:tr>
      <w:tr w:rsidR="00FB076D" w:rsidRPr="009B5509" w14:paraId="0FD697C7" w14:textId="77777777" w:rsidTr="00A61A4B">
        <w:trPr>
          <w:jc w:val="center"/>
        </w:trPr>
        <w:tc>
          <w:tcPr>
            <w:tcW w:w="1020" w:type="dxa"/>
            <w:vAlign w:val="center"/>
          </w:tcPr>
          <w:p w14:paraId="576BB921" w14:textId="77777777" w:rsidR="00FB076D" w:rsidRPr="009B5509" w:rsidRDefault="00FB076D" w:rsidP="00FB076D">
            <w:pPr>
              <w:jc w:val="center"/>
              <w:rPr>
                <w:rFonts w:ascii="Calibri" w:hAnsi="Calibri" w:cs="Calibri"/>
                <w:sz w:val="20"/>
                <w:szCs w:val="20"/>
              </w:rPr>
            </w:pPr>
            <w:r w:rsidRPr="009B5509">
              <w:rPr>
                <w:rFonts w:ascii="Calibri" w:hAnsi="Calibri" w:cs="Calibri"/>
                <w:sz w:val="20"/>
                <w:szCs w:val="20"/>
              </w:rPr>
              <w:t>0 – 12</w:t>
            </w:r>
          </w:p>
        </w:tc>
        <w:tc>
          <w:tcPr>
            <w:tcW w:w="1680" w:type="dxa"/>
          </w:tcPr>
          <w:p w14:paraId="5AAA0206" w14:textId="65496E40"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12,933 </w:t>
            </w:r>
          </w:p>
        </w:tc>
        <w:tc>
          <w:tcPr>
            <w:tcW w:w="1710" w:type="dxa"/>
            <w:shd w:val="clear" w:color="auto" w:fill="FFFFFF"/>
          </w:tcPr>
          <w:p w14:paraId="471C949E" w14:textId="1B3B9115"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1,729 </w:t>
            </w:r>
          </w:p>
        </w:tc>
        <w:tc>
          <w:tcPr>
            <w:tcW w:w="1620" w:type="dxa"/>
          </w:tcPr>
          <w:p w14:paraId="2E7E5594" w14:textId="57EB482C"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3 </w:t>
            </w:r>
          </w:p>
        </w:tc>
        <w:tc>
          <w:tcPr>
            <w:tcW w:w="1752" w:type="dxa"/>
          </w:tcPr>
          <w:p w14:paraId="3FA5E2FC" w14:textId="4BB4797B"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2,538 </w:t>
            </w:r>
          </w:p>
        </w:tc>
        <w:tc>
          <w:tcPr>
            <w:tcW w:w="1578" w:type="dxa"/>
          </w:tcPr>
          <w:p w14:paraId="5A01BDAE" w14:textId="12832955"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9,935 </w:t>
            </w:r>
          </w:p>
        </w:tc>
      </w:tr>
      <w:tr w:rsidR="00FB076D" w:rsidRPr="009B5509" w14:paraId="38C3E893" w14:textId="77777777" w:rsidTr="00A61A4B">
        <w:trPr>
          <w:jc w:val="center"/>
        </w:trPr>
        <w:tc>
          <w:tcPr>
            <w:tcW w:w="1020" w:type="dxa"/>
            <w:vAlign w:val="center"/>
          </w:tcPr>
          <w:p w14:paraId="36895F6C" w14:textId="77777777" w:rsidR="00FB076D" w:rsidRPr="009B5509" w:rsidRDefault="00FB076D" w:rsidP="00FB076D">
            <w:pPr>
              <w:jc w:val="center"/>
              <w:rPr>
                <w:rFonts w:ascii="Calibri" w:hAnsi="Calibri" w:cs="Calibri"/>
                <w:sz w:val="20"/>
                <w:szCs w:val="20"/>
              </w:rPr>
            </w:pPr>
            <w:r w:rsidRPr="009B5509">
              <w:rPr>
                <w:rFonts w:ascii="Calibri" w:hAnsi="Calibri" w:cs="Calibri"/>
                <w:sz w:val="20"/>
                <w:szCs w:val="20"/>
              </w:rPr>
              <w:t>13 – 17</w:t>
            </w:r>
          </w:p>
        </w:tc>
        <w:tc>
          <w:tcPr>
            <w:tcW w:w="1680" w:type="dxa"/>
          </w:tcPr>
          <w:p w14:paraId="4F1E7991" w14:textId="318E3AD5"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17,438 </w:t>
            </w:r>
          </w:p>
        </w:tc>
        <w:tc>
          <w:tcPr>
            <w:tcW w:w="1710" w:type="dxa"/>
          </w:tcPr>
          <w:p w14:paraId="5F2A8684" w14:textId="4D09288D"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1,500 </w:t>
            </w:r>
          </w:p>
        </w:tc>
        <w:tc>
          <w:tcPr>
            <w:tcW w:w="1620" w:type="dxa"/>
          </w:tcPr>
          <w:p w14:paraId="7D7763CB" w14:textId="1B7B2ACB"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235 </w:t>
            </w:r>
          </w:p>
        </w:tc>
        <w:tc>
          <w:tcPr>
            <w:tcW w:w="1752" w:type="dxa"/>
          </w:tcPr>
          <w:p w14:paraId="683C6DE3" w14:textId="3A09829E"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7,110 </w:t>
            </w:r>
          </w:p>
        </w:tc>
        <w:tc>
          <w:tcPr>
            <w:tcW w:w="1578" w:type="dxa"/>
          </w:tcPr>
          <w:p w14:paraId="71508324" w14:textId="784ECD66"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14,006 </w:t>
            </w:r>
          </w:p>
        </w:tc>
      </w:tr>
      <w:tr w:rsidR="00FB076D" w:rsidRPr="009B5509" w14:paraId="7D590A7F" w14:textId="77777777" w:rsidTr="00A61A4B">
        <w:trPr>
          <w:jc w:val="center"/>
        </w:trPr>
        <w:tc>
          <w:tcPr>
            <w:tcW w:w="1020" w:type="dxa"/>
            <w:vAlign w:val="center"/>
          </w:tcPr>
          <w:p w14:paraId="4EBE29D7" w14:textId="77777777" w:rsidR="00FB076D" w:rsidRPr="009B5509" w:rsidRDefault="00FB076D" w:rsidP="00FB076D">
            <w:pPr>
              <w:jc w:val="center"/>
              <w:rPr>
                <w:rFonts w:ascii="Calibri" w:hAnsi="Calibri" w:cs="Calibri"/>
                <w:sz w:val="20"/>
                <w:szCs w:val="20"/>
              </w:rPr>
            </w:pPr>
            <w:r w:rsidRPr="009B5509">
              <w:rPr>
                <w:rFonts w:ascii="Calibri" w:hAnsi="Calibri" w:cs="Calibri"/>
                <w:sz w:val="20"/>
                <w:szCs w:val="20"/>
              </w:rPr>
              <w:t>18 – 64</w:t>
            </w:r>
          </w:p>
        </w:tc>
        <w:tc>
          <w:tcPr>
            <w:tcW w:w="1680" w:type="dxa"/>
          </w:tcPr>
          <w:p w14:paraId="70580028" w14:textId="3A68D262"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83,125 </w:t>
            </w:r>
          </w:p>
        </w:tc>
        <w:tc>
          <w:tcPr>
            <w:tcW w:w="1710" w:type="dxa"/>
          </w:tcPr>
          <w:p w14:paraId="7B0B03AD" w14:textId="778F2170"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18,603 </w:t>
            </w:r>
          </w:p>
        </w:tc>
        <w:tc>
          <w:tcPr>
            <w:tcW w:w="1620" w:type="dxa"/>
          </w:tcPr>
          <w:p w14:paraId="7098FB81" w14:textId="0A7A0D10"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23,603 </w:t>
            </w:r>
          </w:p>
        </w:tc>
        <w:tc>
          <w:tcPr>
            <w:tcW w:w="1752" w:type="dxa"/>
          </w:tcPr>
          <w:p w14:paraId="37F58737" w14:textId="3438E3C2"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38,877 </w:t>
            </w:r>
          </w:p>
        </w:tc>
        <w:tc>
          <w:tcPr>
            <w:tcW w:w="1578" w:type="dxa"/>
          </w:tcPr>
          <w:p w14:paraId="61510C7D" w14:textId="0B727C15"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65,114 </w:t>
            </w:r>
          </w:p>
        </w:tc>
      </w:tr>
      <w:tr w:rsidR="00FB076D" w:rsidRPr="009B5509" w14:paraId="7AFE0789" w14:textId="77777777" w:rsidTr="00A61A4B">
        <w:trPr>
          <w:jc w:val="center"/>
        </w:trPr>
        <w:tc>
          <w:tcPr>
            <w:tcW w:w="1020" w:type="dxa"/>
            <w:vAlign w:val="center"/>
          </w:tcPr>
          <w:p w14:paraId="5BF4AA56" w14:textId="77777777" w:rsidR="00FB076D" w:rsidRPr="009B5509" w:rsidRDefault="00FB076D" w:rsidP="00FB076D">
            <w:pPr>
              <w:jc w:val="center"/>
              <w:rPr>
                <w:rFonts w:ascii="Calibri" w:hAnsi="Calibri" w:cs="Calibri"/>
                <w:sz w:val="20"/>
                <w:szCs w:val="20"/>
              </w:rPr>
            </w:pPr>
            <w:r w:rsidRPr="009B5509">
              <w:rPr>
                <w:rFonts w:ascii="Calibri" w:hAnsi="Calibri" w:cs="Calibri"/>
                <w:sz w:val="20"/>
                <w:szCs w:val="20"/>
              </w:rPr>
              <w:t>65+</w:t>
            </w:r>
          </w:p>
        </w:tc>
        <w:tc>
          <w:tcPr>
            <w:tcW w:w="1680" w:type="dxa"/>
          </w:tcPr>
          <w:p w14:paraId="54379D5A" w14:textId="4F8F38F5"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8,664 </w:t>
            </w:r>
          </w:p>
        </w:tc>
        <w:tc>
          <w:tcPr>
            <w:tcW w:w="1710" w:type="dxa"/>
          </w:tcPr>
          <w:p w14:paraId="749C660D" w14:textId="51906CB4"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1,722 </w:t>
            </w:r>
          </w:p>
        </w:tc>
        <w:tc>
          <w:tcPr>
            <w:tcW w:w="1620" w:type="dxa"/>
          </w:tcPr>
          <w:p w14:paraId="2F03F131" w14:textId="2064B795"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766 </w:t>
            </w:r>
          </w:p>
        </w:tc>
        <w:tc>
          <w:tcPr>
            <w:tcW w:w="1752" w:type="dxa"/>
          </w:tcPr>
          <w:p w14:paraId="4548B101" w14:textId="7E6696D9"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3,980 </w:t>
            </w:r>
          </w:p>
        </w:tc>
        <w:tc>
          <w:tcPr>
            <w:tcW w:w="1578" w:type="dxa"/>
          </w:tcPr>
          <w:p w14:paraId="10BB42CA" w14:textId="1E498881"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3,836 </w:t>
            </w:r>
          </w:p>
        </w:tc>
      </w:tr>
      <w:tr w:rsidR="00FB076D" w:rsidRPr="009B5509" w14:paraId="7D0AC968" w14:textId="77777777" w:rsidTr="00A61A4B">
        <w:trPr>
          <w:jc w:val="center"/>
        </w:trPr>
        <w:tc>
          <w:tcPr>
            <w:tcW w:w="1020" w:type="dxa"/>
            <w:vAlign w:val="center"/>
          </w:tcPr>
          <w:p w14:paraId="7E740FE5" w14:textId="77777777" w:rsidR="00FB076D" w:rsidRPr="009B5509" w:rsidRDefault="00FB076D" w:rsidP="00FB076D">
            <w:pPr>
              <w:jc w:val="center"/>
              <w:rPr>
                <w:rFonts w:ascii="Calibri" w:hAnsi="Calibri" w:cs="Calibri"/>
                <w:sz w:val="20"/>
                <w:szCs w:val="20"/>
              </w:rPr>
            </w:pPr>
            <w:r w:rsidRPr="009B5509">
              <w:rPr>
                <w:rFonts w:ascii="Calibri" w:hAnsi="Calibri" w:cs="Calibri"/>
                <w:sz w:val="20"/>
                <w:szCs w:val="20"/>
              </w:rPr>
              <w:t>Unknown</w:t>
            </w:r>
          </w:p>
        </w:tc>
        <w:tc>
          <w:tcPr>
            <w:tcW w:w="1680" w:type="dxa"/>
          </w:tcPr>
          <w:p w14:paraId="4592D195" w14:textId="41891A56"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4 </w:t>
            </w:r>
          </w:p>
        </w:tc>
        <w:tc>
          <w:tcPr>
            <w:tcW w:w="1710" w:type="dxa"/>
          </w:tcPr>
          <w:p w14:paraId="2C7F11AE" w14:textId="57D36FDC"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   </w:t>
            </w:r>
          </w:p>
        </w:tc>
        <w:tc>
          <w:tcPr>
            <w:tcW w:w="1620" w:type="dxa"/>
          </w:tcPr>
          <w:p w14:paraId="21D5FDCE" w14:textId="2A48164B"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3 </w:t>
            </w:r>
          </w:p>
        </w:tc>
        <w:tc>
          <w:tcPr>
            <w:tcW w:w="1752" w:type="dxa"/>
          </w:tcPr>
          <w:p w14:paraId="29768727" w14:textId="58A7BA78"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38 </w:t>
            </w:r>
          </w:p>
        </w:tc>
        <w:tc>
          <w:tcPr>
            <w:tcW w:w="1578" w:type="dxa"/>
          </w:tcPr>
          <w:p w14:paraId="432BA94D" w14:textId="3F6D796F" w:rsidR="00FB076D" w:rsidRPr="009B5509" w:rsidRDefault="00FB076D" w:rsidP="00FB076D">
            <w:pPr>
              <w:jc w:val="center"/>
              <w:rPr>
                <w:rFonts w:ascii="Calibri" w:hAnsi="Calibri" w:cs="Calibri"/>
                <w:sz w:val="20"/>
                <w:szCs w:val="20"/>
              </w:rPr>
            </w:pPr>
            <w:r w:rsidRPr="009B5509">
              <w:rPr>
                <w:rFonts w:ascii="Calibri" w:hAnsi="Calibri" w:cs="Calibri"/>
                <w:sz w:val="20"/>
                <w:szCs w:val="20"/>
              </w:rPr>
              <w:t xml:space="preserve"> 23 </w:t>
            </w:r>
          </w:p>
        </w:tc>
      </w:tr>
      <w:tr w:rsidR="00FB076D" w:rsidRPr="009B5509" w14:paraId="1114C3AB" w14:textId="77777777" w:rsidTr="00A61A4B">
        <w:trPr>
          <w:jc w:val="center"/>
        </w:trPr>
        <w:tc>
          <w:tcPr>
            <w:tcW w:w="1020" w:type="dxa"/>
            <w:shd w:val="clear" w:color="auto" w:fill="365F91" w:themeFill="accent1" w:themeFillShade="BF"/>
            <w:vAlign w:val="center"/>
          </w:tcPr>
          <w:p w14:paraId="21DDA434" w14:textId="77777777" w:rsidR="00FB076D" w:rsidRPr="009B5509" w:rsidRDefault="00FB076D" w:rsidP="00FB076D">
            <w:pPr>
              <w:jc w:val="center"/>
              <w:rPr>
                <w:rFonts w:ascii="Calibri" w:hAnsi="Calibri" w:cs="Calibri"/>
                <w:b/>
                <w:color w:val="FFFFFF" w:themeColor="background1"/>
                <w:sz w:val="20"/>
                <w:szCs w:val="20"/>
              </w:rPr>
            </w:pPr>
            <w:r w:rsidRPr="009B5509">
              <w:rPr>
                <w:rFonts w:ascii="Calibri" w:hAnsi="Calibri" w:cs="Calibri"/>
                <w:b/>
                <w:color w:val="FFFFFF" w:themeColor="background1"/>
                <w:sz w:val="20"/>
                <w:szCs w:val="20"/>
              </w:rPr>
              <w:t>Total</w:t>
            </w:r>
          </w:p>
        </w:tc>
        <w:tc>
          <w:tcPr>
            <w:tcW w:w="1680" w:type="dxa"/>
            <w:shd w:val="clear" w:color="auto" w:fill="365F91" w:themeFill="accent1" w:themeFillShade="BF"/>
          </w:tcPr>
          <w:p w14:paraId="4EF11776" w14:textId="3D99717D" w:rsidR="00FB076D" w:rsidRPr="009B5509" w:rsidRDefault="00FB076D" w:rsidP="00FB076D">
            <w:pPr>
              <w:jc w:val="center"/>
              <w:rPr>
                <w:rFonts w:ascii="Calibri" w:hAnsi="Calibri" w:cs="Calibri"/>
                <w:b/>
                <w:bCs/>
                <w:color w:val="FFFFFF" w:themeColor="background1"/>
                <w:sz w:val="20"/>
                <w:szCs w:val="20"/>
              </w:rPr>
            </w:pPr>
            <w:r w:rsidRPr="009B5509">
              <w:rPr>
                <w:rFonts w:ascii="Calibri" w:hAnsi="Calibri" w:cs="Calibri"/>
                <w:b/>
                <w:bCs/>
                <w:color w:val="FFFFFF" w:themeColor="background1"/>
                <w:sz w:val="20"/>
                <w:szCs w:val="20"/>
              </w:rPr>
              <w:t xml:space="preserve"> 122,164 </w:t>
            </w:r>
          </w:p>
        </w:tc>
        <w:tc>
          <w:tcPr>
            <w:tcW w:w="1710" w:type="dxa"/>
            <w:shd w:val="clear" w:color="auto" w:fill="365F91" w:themeFill="accent1" w:themeFillShade="BF"/>
          </w:tcPr>
          <w:p w14:paraId="121DE907" w14:textId="18C577BF" w:rsidR="00FB076D" w:rsidRPr="009B5509" w:rsidRDefault="00FB076D" w:rsidP="00FB076D">
            <w:pPr>
              <w:jc w:val="center"/>
              <w:rPr>
                <w:rFonts w:ascii="Calibri" w:hAnsi="Calibri" w:cs="Calibri"/>
                <w:b/>
                <w:bCs/>
                <w:color w:val="FFFFFF" w:themeColor="background1"/>
                <w:sz w:val="20"/>
                <w:szCs w:val="20"/>
              </w:rPr>
            </w:pPr>
            <w:r w:rsidRPr="009B5509">
              <w:rPr>
                <w:rFonts w:ascii="Calibri" w:hAnsi="Calibri" w:cs="Calibri"/>
                <w:b/>
                <w:bCs/>
                <w:color w:val="FFFFFF" w:themeColor="background1"/>
                <w:sz w:val="20"/>
                <w:szCs w:val="20"/>
              </w:rPr>
              <w:t xml:space="preserve"> 23,554 </w:t>
            </w:r>
          </w:p>
        </w:tc>
        <w:tc>
          <w:tcPr>
            <w:tcW w:w="1620" w:type="dxa"/>
            <w:shd w:val="clear" w:color="auto" w:fill="365F91" w:themeFill="accent1" w:themeFillShade="BF"/>
          </w:tcPr>
          <w:p w14:paraId="20817F3F" w14:textId="21E2F635" w:rsidR="00FB076D" w:rsidRPr="009B5509" w:rsidRDefault="00FB076D" w:rsidP="00FB076D">
            <w:pPr>
              <w:jc w:val="center"/>
              <w:rPr>
                <w:rFonts w:ascii="Calibri" w:hAnsi="Calibri" w:cs="Calibri"/>
                <w:b/>
                <w:bCs/>
                <w:color w:val="FFFFFF" w:themeColor="background1"/>
                <w:sz w:val="20"/>
                <w:szCs w:val="20"/>
              </w:rPr>
            </w:pPr>
            <w:r w:rsidRPr="009B5509">
              <w:rPr>
                <w:rFonts w:ascii="Calibri" w:hAnsi="Calibri" w:cs="Calibri"/>
                <w:b/>
                <w:bCs/>
                <w:color w:val="FFFFFF" w:themeColor="background1"/>
                <w:sz w:val="20"/>
                <w:szCs w:val="20"/>
              </w:rPr>
              <w:t xml:space="preserve"> 24,610 </w:t>
            </w:r>
          </w:p>
        </w:tc>
        <w:tc>
          <w:tcPr>
            <w:tcW w:w="1752" w:type="dxa"/>
            <w:shd w:val="clear" w:color="auto" w:fill="365F91" w:themeFill="accent1" w:themeFillShade="BF"/>
          </w:tcPr>
          <w:p w14:paraId="22FB553A" w14:textId="39301652" w:rsidR="00FB076D" w:rsidRPr="009B5509" w:rsidRDefault="00FB076D" w:rsidP="00FB076D">
            <w:pPr>
              <w:jc w:val="center"/>
              <w:rPr>
                <w:rFonts w:ascii="Calibri" w:hAnsi="Calibri" w:cs="Calibri"/>
                <w:b/>
                <w:bCs/>
                <w:color w:val="FFFFFF" w:themeColor="background1"/>
                <w:sz w:val="20"/>
                <w:szCs w:val="20"/>
              </w:rPr>
            </w:pPr>
            <w:r w:rsidRPr="009B5509">
              <w:rPr>
                <w:rFonts w:ascii="Calibri" w:hAnsi="Calibri" w:cs="Calibri"/>
                <w:b/>
                <w:bCs/>
                <w:color w:val="FFFFFF" w:themeColor="background1"/>
                <w:sz w:val="20"/>
                <w:szCs w:val="20"/>
              </w:rPr>
              <w:t xml:space="preserve"> 52,543 </w:t>
            </w:r>
          </w:p>
        </w:tc>
        <w:tc>
          <w:tcPr>
            <w:tcW w:w="1578" w:type="dxa"/>
            <w:shd w:val="clear" w:color="auto" w:fill="365F91" w:themeFill="accent1" w:themeFillShade="BF"/>
          </w:tcPr>
          <w:p w14:paraId="1F015489" w14:textId="7B927C08" w:rsidR="00FB076D" w:rsidRPr="009B5509" w:rsidRDefault="00FB076D" w:rsidP="00FB076D">
            <w:pPr>
              <w:jc w:val="center"/>
              <w:rPr>
                <w:rFonts w:ascii="Calibri" w:hAnsi="Calibri" w:cs="Calibri"/>
                <w:b/>
                <w:bCs/>
                <w:color w:val="FFFFFF" w:themeColor="background1"/>
                <w:sz w:val="20"/>
                <w:szCs w:val="20"/>
              </w:rPr>
            </w:pPr>
            <w:r w:rsidRPr="009B5509">
              <w:rPr>
                <w:rFonts w:ascii="Calibri" w:hAnsi="Calibri" w:cs="Calibri"/>
                <w:b/>
                <w:bCs/>
                <w:color w:val="FFFFFF" w:themeColor="background1"/>
                <w:sz w:val="20"/>
                <w:szCs w:val="20"/>
              </w:rPr>
              <w:t xml:space="preserve"> 92,914 </w:t>
            </w:r>
          </w:p>
        </w:tc>
      </w:tr>
    </w:tbl>
    <w:p w14:paraId="658B9FE3" w14:textId="04639D4D" w:rsidR="003F400A" w:rsidRPr="009B5509" w:rsidRDefault="00554A5A" w:rsidP="00F46923">
      <w:r w:rsidRPr="009B5509">
        <w:br/>
      </w:r>
      <w:r w:rsidR="003F400A" w:rsidRPr="009B5509">
        <w:t xml:space="preserve">Figure </w:t>
      </w:r>
      <w:r w:rsidR="007E5D0B" w:rsidRPr="009B5509">
        <w:t>4</w:t>
      </w:r>
      <w:r w:rsidR="003F400A" w:rsidRPr="009B5509">
        <w:t xml:space="preserve">, below, contains data about the gender of individuals who received CSB services. </w:t>
      </w:r>
      <w:r w:rsidR="003F400A" w:rsidRPr="009B5509">
        <w:br/>
      </w:r>
    </w:p>
    <w:tbl>
      <w:tblPr>
        <w:tblStyle w:val="TableGrid"/>
        <w:tblW w:w="81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09"/>
        <w:gridCol w:w="3236"/>
        <w:gridCol w:w="1890"/>
        <w:gridCol w:w="2250"/>
      </w:tblGrid>
      <w:tr w:rsidR="003F400A" w:rsidRPr="009B5509" w14:paraId="61A86CE7" w14:textId="77777777" w:rsidTr="00A61A4B">
        <w:trPr>
          <w:jc w:val="center"/>
        </w:trPr>
        <w:tc>
          <w:tcPr>
            <w:tcW w:w="8185" w:type="dxa"/>
            <w:gridSpan w:val="4"/>
          </w:tcPr>
          <w:p w14:paraId="3881ABCB" w14:textId="5877FB18" w:rsidR="003F400A" w:rsidRPr="009B5509" w:rsidRDefault="003F400A" w:rsidP="00F46923">
            <w:pPr>
              <w:jc w:val="center"/>
              <w:rPr>
                <w:rFonts w:ascii="Calibri" w:hAnsi="Calibri" w:cs="Calibri"/>
                <w:sz w:val="20"/>
                <w:szCs w:val="20"/>
              </w:rPr>
            </w:pPr>
            <w:r w:rsidRPr="009B5509">
              <w:rPr>
                <w:rFonts w:ascii="Calibri" w:hAnsi="Calibri" w:cs="Calibri"/>
                <w:b/>
                <w:color w:val="365F91" w:themeColor="accent1" w:themeShade="BF"/>
                <w:sz w:val="20"/>
                <w:szCs w:val="20"/>
              </w:rPr>
              <w:t xml:space="preserve">Figure </w:t>
            </w:r>
            <w:r w:rsidR="007E5D0B" w:rsidRPr="009B5509">
              <w:rPr>
                <w:rFonts w:ascii="Calibri" w:hAnsi="Calibri" w:cs="Calibri"/>
                <w:b/>
                <w:color w:val="365F91" w:themeColor="accent1" w:themeShade="BF"/>
                <w:sz w:val="20"/>
                <w:szCs w:val="20"/>
              </w:rPr>
              <w:t>4</w:t>
            </w:r>
            <w:r w:rsidRPr="009B5509">
              <w:rPr>
                <w:rFonts w:ascii="Calibri" w:hAnsi="Calibri" w:cs="Calibri"/>
                <w:b/>
                <w:color w:val="365F91" w:themeColor="accent1" w:themeShade="BF"/>
                <w:sz w:val="20"/>
                <w:szCs w:val="20"/>
              </w:rPr>
              <w:t>:  Gender of Individuals Who Received CSB Services in FY 202</w:t>
            </w:r>
            <w:r w:rsidR="004023E5" w:rsidRPr="009B5509">
              <w:rPr>
                <w:rFonts w:ascii="Calibri" w:hAnsi="Calibri" w:cs="Calibri"/>
                <w:b/>
                <w:color w:val="365F91" w:themeColor="accent1" w:themeShade="BF"/>
                <w:sz w:val="20"/>
                <w:szCs w:val="20"/>
              </w:rPr>
              <w:t>2</w:t>
            </w:r>
          </w:p>
        </w:tc>
      </w:tr>
      <w:tr w:rsidR="00461F20" w:rsidRPr="009B5509" w14:paraId="486A3E7D" w14:textId="77777777" w:rsidTr="00A61A4B">
        <w:trPr>
          <w:jc w:val="center"/>
        </w:trPr>
        <w:tc>
          <w:tcPr>
            <w:tcW w:w="809" w:type="dxa"/>
          </w:tcPr>
          <w:p w14:paraId="1566B1D0" w14:textId="77777777" w:rsidR="003F400A" w:rsidRPr="009B5509" w:rsidRDefault="003F400A" w:rsidP="00F46923">
            <w:pPr>
              <w:rPr>
                <w:rFonts w:ascii="Calibri" w:hAnsi="Calibri" w:cs="Calibri"/>
                <w:sz w:val="20"/>
                <w:szCs w:val="20"/>
              </w:rPr>
            </w:pPr>
            <w:r w:rsidRPr="009B5509">
              <w:rPr>
                <w:rFonts w:ascii="Calibri" w:hAnsi="Calibri" w:cs="Calibri"/>
                <w:sz w:val="20"/>
                <w:szCs w:val="20"/>
              </w:rPr>
              <w:t>Female</w:t>
            </w:r>
          </w:p>
        </w:tc>
        <w:tc>
          <w:tcPr>
            <w:tcW w:w="3236" w:type="dxa"/>
          </w:tcPr>
          <w:p w14:paraId="1FC02E83" w14:textId="0D6C1C6F" w:rsidR="003F400A" w:rsidRPr="009B5509" w:rsidRDefault="00461F20" w:rsidP="00F46923">
            <w:pPr>
              <w:jc w:val="center"/>
              <w:rPr>
                <w:rFonts w:ascii="Calibri" w:hAnsi="Calibri" w:cs="Calibri"/>
                <w:sz w:val="20"/>
                <w:szCs w:val="20"/>
              </w:rPr>
            </w:pPr>
            <w:r w:rsidRPr="009B5509">
              <w:rPr>
                <w:rFonts w:ascii="Calibri" w:hAnsi="Calibri" w:cs="Calibri"/>
                <w:sz w:val="20"/>
                <w:szCs w:val="20"/>
              </w:rPr>
              <w:t>99,066</w:t>
            </w:r>
          </w:p>
        </w:tc>
        <w:tc>
          <w:tcPr>
            <w:tcW w:w="1890" w:type="dxa"/>
          </w:tcPr>
          <w:p w14:paraId="2AC5290A" w14:textId="77777777" w:rsidR="003F400A" w:rsidRPr="009B5509" w:rsidRDefault="003F400A" w:rsidP="00F46923">
            <w:pPr>
              <w:rPr>
                <w:rFonts w:ascii="Calibri" w:hAnsi="Calibri" w:cs="Calibri"/>
                <w:sz w:val="20"/>
                <w:szCs w:val="20"/>
              </w:rPr>
            </w:pPr>
            <w:r w:rsidRPr="009B5509">
              <w:rPr>
                <w:rFonts w:ascii="Calibri" w:hAnsi="Calibri" w:cs="Calibri"/>
                <w:sz w:val="20"/>
                <w:szCs w:val="20"/>
              </w:rPr>
              <w:t>Unknown</w:t>
            </w:r>
          </w:p>
        </w:tc>
        <w:tc>
          <w:tcPr>
            <w:tcW w:w="2250" w:type="dxa"/>
          </w:tcPr>
          <w:p w14:paraId="68C4291D" w14:textId="4C30A20F" w:rsidR="003F400A" w:rsidRPr="009B5509" w:rsidRDefault="003F400A" w:rsidP="00F46923">
            <w:pPr>
              <w:jc w:val="center"/>
              <w:rPr>
                <w:rFonts w:ascii="Calibri" w:hAnsi="Calibri" w:cs="Calibri"/>
                <w:sz w:val="20"/>
                <w:szCs w:val="20"/>
              </w:rPr>
            </w:pPr>
            <w:r w:rsidRPr="009B5509">
              <w:rPr>
                <w:rFonts w:ascii="Calibri" w:hAnsi="Calibri" w:cs="Calibri"/>
                <w:sz w:val="20"/>
                <w:szCs w:val="20"/>
              </w:rPr>
              <w:t xml:space="preserve"> </w:t>
            </w:r>
            <w:r w:rsidR="00461F20" w:rsidRPr="009B5509">
              <w:rPr>
                <w:rFonts w:ascii="Calibri" w:hAnsi="Calibri" w:cs="Calibri"/>
                <w:sz w:val="20"/>
                <w:szCs w:val="20"/>
              </w:rPr>
              <w:t>429</w:t>
            </w:r>
          </w:p>
        </w:tc>
      </w:tr>
      <w:tr w:rsidR="00461F20" w:rsidRPr="009B5509" w14:paraId="3482860B" w14:textId="77777777" w:rsidTr="00A61A4B">
        <w:trPr>
          <w:jc w:val="center"/>
        </w:trPr>
        <w:tc>
          <w:tcPr>
            <w:tcW w:w="809" w:type="dxa"/>
          </w:tcPr>
          <w:p w14:paraId="2EEC0C0A" w14:textId="77777777" w:rsidR="003F400A" w:rsidRPr="009B5509" w:rsidRDefault="003F400A" w:rsidP="00F46923">
            <w:pPr>
              <w:rPr>
                <w:rFonts w:ascii="Calibri" w:hAnsi="Calibri" w:cs="Calibri"/>
                <w:sz w:val="20"/>
                <w:szCs w:val="20"/>
              </w:rPr>
            </w:pPr>
            <w:r w:rsidRPr="009B5509">
              <w:rPr>
                <w:rFonts w:ascii="Calibri" w:hAnsi="Calibri" w:cs="Calibri"/>
                <w:sz w:val="20"/>
                <w:szCs w:val="20"/>
              </w:rPr>
              <w:t>Male</w:t>
            </w:r>
          </w:p>
        </w:tc>
        <w:tc>
          <w:tcPr>
            <w:tcW w:w="3236" w:type="dxa"/>
          </w:tcPr>
          <w:p w14:paraId="3096B22D" w14:textId="6EBE7A34" w:rsidR="003F400A" w:rsidRPr="009B5509" w:rsidRDefault="003F400A" w:rsidP="00F46923">
            <w:pPr>
              <w:jc w:val="center"/>
              <w:rPr>
                <w:rFonts w:ascii="Calibri" w:hAnsi="Calibri" w:cs="Calibri"/>
                <w:sz w:val="20"/>
                <w:szCs w:val="20"/>
              </w:rPr>
            </w:pPr>
            <w:r w:rsidRPr="009B5509">
              <w:rPr>
                <w:rFonts w:ascii="Calibri" w:hAnsi="Calibri" w:cs="Calibri"/>
                <w:sz w:val="20"/>
                <w:szCs w:val="20"/>
              </w:rPr>
              <w:t xml:space="preserve"> 110,</w:t>
            </w:r>
            <w:r w:rsidR="00461F20" w:rsidRPr="009B5509">
              <w:rPr>
                <w:rFonts w:ascii="Calibri" w:hAnsi="Calibri" w:cs="Calibri"/>
                <w:sz w:val="20"/>
                <w:szCs w:val="20"/>
              </w:rPr>
              <w:t>583</w:t>
            </w:r>
            <w:r w:rsidRPr="009B5509">
              <w:rPr>
                <w:rFonts w:ascii="Calibri" w:hAnsi="Calibri" w:cs="Calibri"/>
                <w:sz w:val="20"/>
                <w:szCs w:val="20"/>
              </w:rPr>
              <w:t xml:space="preserve"> </w:t>
            </w:r>
          </w:p>
        </w:tc>
        <w:tc>
          <w:tcPr>
            <w:tcW w:w="1890" w:type="dxa"/>
          </w:tcPr>
          <w:p w14:paraId="203E3A52" w14:textId="77777777" w:rsidR="003F400A" w:rsidRPr="009B5509" w:rsidRDefault="003F400A" w:rsidP="00F46923">
            <w:pPr>
              <w:rPr>
                <w:rFonts w:ascii="Calibri" w:hAnsi="Calibri" w:cs="Calibri"/>
                <w:sz w:val="20"/>
                <w:szCs w:val="20"/>
              </w:rPr>
            </w:pPr>
            <w:r w:rsidRPr="009B5509">
              <w:rPr>
                <w:rFonts w:ascii="Calibri" w:hAnsi="Calibri" w:cs="Calibri"/>
                <w:sz w:val="20"/>
                <w:szCs w:val="20"/>
              </w:rPr>
              <w:t>Not Collected</w:t>
            </w:r>
          </w:p>
        </w:tc>
        <w:tc>
          <w:tcPr>
            <w:tcW w:w="2250" w:type="dxa"/>
          </w:tcPr>
          <w:p w14:paraId="0E502AB1" w14:textId="77777777" w:rsidR="003F400A" w:rsidRPr="009B5509" w:rsidRDefault="003F400A" w:rsidP="00F46923">
            <w:pPr>
              <w:jc w:val="center"/>
              <w:rPr>
                <w:rFonts w:ascii="Calibri" w:hAnsi="Calibri" w:cs="Calibri"/>
                <w:sz w:val="20"/>
                <w:szCs w:val="20"/>
              </w:rPr>
            </w:pPr>
            <w:r w:rsidRPr="009B5509">
              <w:rPr>
                <w:rFonts w:ascii="Calibri" w:hAnsi="Calibri" w:cs="Calibri"/>
                <w:sz w:val="20"/>
                <w:szCs w:val="20"/>
              </w:rPr>
              <w:t xml:space="preserve"> 0   </w:t>
            </w:r>
          </w:p>
        </w:tc>
      </w:tr>
    </w:tbl>
    <w:p w14:paraId="0E5D2140" w14:textId="77777777" w:rsidR="003F400A" w:rsidRPr="009B5509" w:rsidRDefault="003F400A" w:rsidP="00F46923">
      <w:pPr>
        <w:rPr>
          <w:color w:val="00B050"/>
          <w:sz w:val="2"/>
          <w:szCs w:val="2"/>
        </w:rPr>
      </w:pPr>
      <w:r w:rsidRPr="009B5509">
        <w:rPr>
          <w:color w:val="00B050"/>
          <w:sz w:val="2"/>
          <w:szCs w:val="2"/>
        </w:rPr>
        <w:br/>
      </w:r>
    </w:p>
    <w:p w14:paraId="25D15225" w14:textId="77777777" w:rsidR="003F400A" w:rsidRPr="009B5509" w:rsidRDefault="003F400A" w:rsidP="00F46923">
      <w:pPr>
        <w:rPr>
          <w:sz w:val="2"/>
          <w:szCs w:val="2"/>
        </w:rPr>
      </w:pPr>
    </w:p>
    <w:p w14:paraId="6A490A43" w14:textId="77777777" w:rsidR="003F400A" w:rsidRPr="009B5509" w:rsidRDefault="003F400A" w:rsidP="00F46923">
      <w:pPr>
        <w:rPr>
          <w:sz w:val="2"/>
          <w:szCs w:val="2"/>
        </w:rPr>
      </w:pPr>
    </w:p>
    <w:p w14:paraId="0F1BAEB8" w14:textId="77777777" w:rsidR="003F400A" w:rsidRPr="009B5509" w:rsidRDefault="003F400A" w:rsidP="00F46923">
      <w:pPr>
        <w:rPr>
          <w:sz w:val="2"/>
          <w:szCs w:val="2"/>
        </w:rPr>
      </w:pPr>
    </w:p>
    <w:p w14:paraId="340A7E6B" w14:textId="77777777" w:rsidR="003F400A" w:rsidRPr="009B5509" w:rsidRDefault="003F400A" w:rsidP="00F46923">
      <w:pPr>
        <w:rPr>
          <w:sz w:val="2"/>
          <w:szCs w:val="2"/>
        </w:rPr>
      </w:pPr>
    </w:p>
    <w:p w14:paraId="11A0A3D8" w14:textId="77777777" w:rsidR="003F400A" w:rsidRPr="009B5509" w:rsidRDefault="003F400A" w:rsidP="00F46923">
      <w:pPr>
        <w:rPr>
          <w:sz w:val="2"/>
          <w:szCs w:val="2"/>
        </w:rPr>
      </w:pPr>
    </w:p>
    <w:p w14:paraId="5ABA4832" w14:textId="77777777" w:rsidR="003F400A" w:rsidRPr="009B5509" w:rsidRDefault="003F400A" w:rsidP="00F46923">
      <w:pPr>
        <w:rPr>
          <w:sz w:val="2"/>
          <w:szCs w:val="2"/>
        </w:rPr>
      </w:pPr>
    </w:p>
    <w:p w14:paraId="37707EE1" w14:textId="77777777" w:rsidR="003F400A" w:rsidRPr="009B5509" w:rsidRDefault="003F400A" w:rsidP="00F46923">
      <w:pPr>
        <w:rPr>
          <w:sz w:val="2"/>
          <w:szCs w:val="2"/>
        </w:rPr>
      </w:pPr>
    </w:p>
    <w:p w14:paraId="01210346" w14:textId="77777777" w:rsidR="003F400A" w:rsidRPr="009B5509" w:rsidRDefault="003F400A" w:rsidP="00F46923">
      <w:pPr>
        <w:rPr>
          <w:sz w:val="2"/>
          <w:szCs w:val="2"/>
        </w:rPr>
      </w:pPr>
    </w:p>
    <w:p w14:paraId="6A873552" w14:textId="77777777" w:rsidR="003F400A" w:rsidRPr="009B5509" w:rsidRDefault="003F400A" w:rsidP="00F46923">
      <w:pPr>
        <w:rPr>
          <w:sz w:val="2"/>
          <w:szCs w:val="2"/>
        </w:rPr>
      </w:pPr>
    </w:p>
    <w:p w14:paraId="60158107" w14:textId="4E856240" w:rsidR="003F400A" w:rsidRPr="009B5509" w:rsidRDefault="003F400A" w:rsidP="00F46923">
      <w:r w:rsidRPr="009B5509">
        <w:t xml:space="preserve">Figure </w:t>
      </w:r>
      <w:r w:rsidR="007E5D0B" w:rsidRPr="009B5509">
        <w:t>5</w:t>
      </w:r>
      <w:r w:rsidRPr="009B5509">
        <w:t>, below, contains data about the races of individuals who received CSB services.</w:t>
      </w:r>
    </w:p>
    <w:p w14:paraId="3403C09C" w14:textId="77777777" w:rsidR="003F400A" w:rsidRPr="009B5509" w:rsidRDefault="003F400A" w:rsidP="00F46923">
      <w:pPr>
        <w:rPr>
          <w:sz w:val="12"/>
          <w:szCs w:val="12"/>
        </w:rPr>
      </w:pPr>
    </w:p>
    <w:tbl>
      <w:tblPr>
        <w:tblW w:w="927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9" w:type="dxa"/>
          <w:right w:w="29" w:type="dxa"/>
        </w:tblCellMar>
        <w:tblLook w:val="04A0" w:firstRow="1" w:lastRow="0" w:firstColumn="1" w:lastColumn="0" w:noHBand="0" w:noVBand="1"/>
      </w:tblPr>
      <w:tblGrid>
        <w:gridCol w:w="3065"/>
        <w:gridCol w:w="1071"/>
        <w:gridCol w:w="85"/>
        <w:gridCol w:w="4154"/>
        <w:gridCol w:w="900"/>
      </w:tblGrid>
      <w:tr w:rsidR="003F400A" w:rsidRPr="009B5509" w14:paraId="33F900DE" w14:textId="77777777" w:rsidTr="00A61A4B">
        <w:trPr>
          <w:trHeight w:val="20"/>
          <w:jc w:val="center"/>
        </w:trPr>
        <w:tc>
          <w:tcPr>
            <w:tcW w:w="9275" w:type="dxa"/>
            <w:gridSpan w:val="5"/>
            <w:shd w:val="clear" w:color="auto" w:fill="auto"/>
          </w:tcPr>
          <w:p w14:paraId="0F00FD10" w14:textId="58DB5F30" w:rsidR="003F400A" w:rsidRPr="009B5509" w:rsidRDefault="003F400A" w:rsidP="00F46923">
            <w:pPr>
              <w:jc w:val="center"/>
              <w:rPr>
                <w:rFonts w:ascii="Calibri" w:hAnsi="Calibri" w:cs="Calibri"/>
                <w:b/>
                <w:bCs/>
                <w:color w:val="000000"/>
                <w:sz w:val="20"/>
                <w:szCs w:val="20"/>
              </w:rPr>
            </w:pPr>
            <w:r w:rsidRPr="009B5509">
              <w:rPr>
                <w:rFonts w:ascii="Calibri" w:hAnsi="Calibri" w:cs="Calibri"/>
                <w:b/>
                <w:color w:val="365F91" w:themeColor="accent1" w:themeShade="BF"/>
                <w:sz w:val="20"/>
                <w:szCs w:val="20"/>
              </w:rPr>
              <w:t xml:space="preserve">Figure </w:t>
            </w:r>
            <w:r w:rsidR="007E5D0B" w:rsidRPr="009B5509">
              <w:rPr>
                <w:rFonts w:ascii="Calibri" w:hAnsi="Calibri" w:cs="Calibri"/>
                <w:b/>
                <w:color w:val="365F91" w:themeColor="accent1" w:themeShade="BF"/>
                <w:sz w:val="20"/>
                <w:szCs w:val="20"/>
              </w:rPr>
              <w:t>5</w:t>
            </w:r>
            <w:r w:rsidRPr="009B5509">
              <w:rPr>
                <w:rFonts w:ascii="Calibri" w:hAnsi="Calibri" w:cs="Calibri"/>
                <w:b/>
                <w:color w:val="365F91" w:themeColor="accent1" w:themeShade="BF"/>
                <w:sz w:val="20"/>
                <w:szCs w:val="20"/>
              </w:rPr>
              <w:t>:  Races of Individuals Who Received CSB Services in FY 202</w:t>
            </w:r>
            <w:r w:rsidR="004023E5" w:rsidRPr="009B5509">
              <w:rPr>
                <w:rFonts w:ascii="Calibri" w:hAnsi="Calibri" w:cs="Calibri"/>
                <w:b/>
                <w:color w:val="365F91" w:themeColor="accent1" w:themeShade="BF"/>
                <w:sz w:val="20"/>
                <w:szCs w:val="20"/>
              </w:rPr>
              <w:t>2</w:t>
            </w:r>
          </w:p>
        </w:tc>
      </w:tr>
      <w:tr w:rsidR="003F400A" w:rsidRPr="009B5509" w14:paraId="0BC73739" w14:textId="77777777" w:rsidTr="00A61A4B">
        <w:trPr>
          <w:trHeight w:val="20"/>
          <w:jc w:val="center"/>
        </w:trPr>
        <w:tc>
          <w:tcPr>
            <w:tcW w:w="3065" w:type="dxa"/>
            <w:shd w:val="clear" w:color="000000" w:fill="FFFFFF" w:themeFill="background1"/>
            <w:noWrap/>
            <w:vAlign w:val="center"/>
            <w:hideMark/>
          </w:tcPr>
          <w:p w14:paraId="72A30502" w14:textId="77777777" w:rsidR="003F400A" w:rsidRPr="009B5509" w:rsidRDefault="003F400A" w:rsidP="00F46923">
            <w:pPr>
              <w:jc w:val="center"/>
              <w:rPr>
                <w:rFonts w:ascii="Calibri" w:hAnsi="Calibri" w:cs="Calibri"/>
                <w:b/>
                <w:bCs/>
                <w:color w:val="000000"/>
                <w:sz w:val="20"/>
                <w:szCs w:val="20"/>
              </w:rPr>
            </w:pPr>
            <w:r w:rsidRPr="009B5509">
              <w:rPr>
                <w:rFonts w:ascii="Calibri" w:hAnsi="Calibri" w:cs="Calibri"/>
                <w:b/>
                <w:bCs/>
                <w:color w:val="000000"/>
                <w:sz w:val="20"/>
                <w:szCs w:val="20"/>
              </w:rPr>
              <w:t>Race</w:t>
            </w:r>
          </w:p>
        </w:tc>
        <w:tc>
          <w:tcPr>
            <w:tcW w:w="1071" w:type="dxa"/>
            <w:shd w:val="clear" w:color="000000" w:fill="FFFFFF" w:themeFill="background1"/>
            <w:vAlign w:val="center"/>
          </w:tcPr>
          <w:p w14:paraId="73041F0D" w14:textId="77777777" w:rsidR="003F400A" w:rsidRPr="009B5509" w:rsidRDefault="003F400A" w:rsidP="00F46923">
            <w:pPr>
              <w:jc w:val="center"/>
              <w:rPr>
                <w:rFonts w:ascii="Calibri" w:hAnsi="Calibri" w:cs="Calibri"/>
                <w:b/>
                <w:bCs/>
                <w:color w:val="000000"/>
                <w:sz w:val="20"/>
                <w:szCs w:val="20"/>
              </w:rPr>
            </w:pPr>
            <w:r w:rsidRPr="009B5509">
              <w:rPr>
                <w:rFonts w:ascii="Calibri" w:hAnsi="Calibri" w:cs="Calibri"/>
                <w:b/>
                <w:bCs/>
                <w:color w:val="000000"/>
                <w:sz w:val="20"/>
                <w:szCs w:val="20"/>
              </w:rPr>
              <w:t>Total</w:t>
            </w:r>
          </w:p>
        </w:tc>
        <w:tc>
          <w:tcPr>
            <w:tcW w:w="85" w:type="dxa"/>
            <w:tcBorders>
              <w:bottom w:val="nil"/>
            </w:tcBorders>
            <w:shd w:val="clear" w:color="000000" w:fill="FFFFFF" w:themeFill="background1"/>
            <w:noWrap/>
            <w:vAlign w:val="center"/>
          </w:tcPr>
          <w:p w14:paraId="00282359" w14:textId="77777777" w:rsidR="003F400A" w:rsidRPr="009B5509" w:rsidRDefault="003F400A" w:rsidP="00F46923">
            <w:pPr>
              <w:jc w:val="center"/>
              <w:rPr>
                <w:rFonts w:ascii="Calibri" w:hAnsi="Calibri" w:cs="Calibri"/>
                <w:b/>
                <w:bCs/>
                <w:color w:val="000000"/>
                <w:sz w:val="20"/>
                <w:szCs w:val="20"/>
              </w:rPr>
            </w:pPr>
          </w:p>
        </w:tc>
        <w:tc>
          <w:tcPr>
            <w:tcW w:w="4154" w:type="dxa"/>
            <w:shd w:val="clear" w:color="000000" w:fill="FFFFFF" w:themeFill="background1"/>
            <w:vAlign w:val="center"/>
          </w:tcPr>
          <w:p w14:paraId="1EE0B6EB" w14:textId="77777777" w:rsidR="003F400A" w:rsidRPr="009B5509" w:rsidRDefault="003F400A" w:rsidP="00F46923">
            <w:pPr>
              <w:jc w:val="center"/>
              <w:rPr>
                <w:rFonts w:ascii="Calibri" w:hAnsi="Calibri" w:cs="Calibri"/>
                <w:b/>
                <w:bCs/>
                <w:color w:val="000000"/>
                <w:sz w:val="20"/>
                <w:szCs w:val="20"/>
              </w:rPr>
            </w:pPr>
            <w:r w:rsidRPr="009B5509">
              <w:rPr>
                <w:rFonts w:ascii="Calibri" w:hAnsi="Calibri" w:cs="Calibri"/>
                <w:b/>
                <w:bCs/>
                <w:color w:val="000000"/>
                <w:sz w:val="20"/>
                <w:szCs w:val="20"/>
              </w:rPr>
              <w:t>Race</w:t>
            </w:r>
          </w:p>
        </w:tc>
        <w:tc>
          <w:tcPr>
            <w:tcW w:w="900" w:type="dxa"/>
            <w:shd w:val="clear" w:color="000000" w:fill="FFFFFF" w:themeFill="background1"/>
            <w:vAlign w:val="center"/>
          </w:tcPr>
          <w:p w14:paraId="2DD627F2" w14:textId="77777777" w:rsidR="003F400A" w:rsidRPr="009B5509" w:rsidRDefault="003F400A" w:rsidP="00F46923">
            <w:pPr>
              <w:jc w:val="center"/>
              <w:rPr>
                <w:rFonts w:ascii="Calibri" w:hAnsi="Calibri" w:cs="Calibri"/>
                <w:b/>
                <w:bCs/>
                <w:color w:val="000000"/>
                <w:sz w:val="20"/>
                <w:szCs w:val="20"/>
              </w:rPr>
            </w:pPr>
            <w:r w:rsidRPr="009B5509">
              <w:rPr>
                <w:rFonts w:ascii="Calibri" w:hAnsi="Calibri" w:cs="Calibri"/>
                <w:b/>
                <w:bCs/>
                <w:color w:val="000000"/>
                <w:sz w:val="20"/>
                <w:szCs w:val="20"/>
              </w:rPr>
              <w:t>Total</w:t>
            </w:r>
          </w:p>
        </w:tc>
      </w:tr>
      <w:tr w:rsidR="00461F20" w:rsidRPr="009B5509" w14:paraId="46460932" w14:textId="77777777" w:rsidTr="00A61A4B">
        <w:trPr>
          <w:trHeight w:val="20"/>
          <w:jc w:val="center"/>
        </w:trPr>
        <w:tc>
          <w:tcPr>
            <w:tcW w:w="3065" w:type="dxa"/>
            <w:shd w:val="clear" w:color="auto" w:fill="auto"/>
            <w:vAlign w:val="center"/>
          </w:tcPr>
          <w:p w14:paraId="749E440B" w14:textId="77777777" w:rsidR="00461F20" w:rsidRPr="009B5509" w:rsidRDefault="00461F20" w:rsidP="00461F20">
            <w:pPr>
              <w:rPr>
                <w:rFonts w:ascii="Calibri" w:hAnsi="Calibri" w:cs="Calibri"/>
                <w:bCs/>
                <w:color w:val="000000"/>
                <w:sz w:val="20"/>
                <w:szCs w:val="20"/>
              </w:rPr>
            </w:pPr>
            <w:r w:rsidRPr="009B5509">
              <w:rPr>
                <w:rFonts w:ascii="Calibri" w:hAnsi="Calibri" w:cs="Calibri"/>
                <w:bCs/>
                <w:color w:val="000000"/>
                <w:sz w:val="20"/>
                <w:szCs w:val="20"/>
              </w:rPr>
              <w:t>Alaska Native</w:t>
            </w:r>
          </w:p>
        </w:tc>
        <w:tc>
          <w:tcPr>
            <w:tcW w:w="1071" w:type="dxa"/>
          </w:tcPr>
          <w:p w14:paraId="76A55EFE" w14:textId="1FE59801" w:rsidR="00461F20" w:rsidRPr="009B5509" w:rsidRDefault="00461F20" w:rsidP="00461F20">
            <w:pPr>
              <w:jc w:val="center"/>
              <w:rPr>
                <w:rFonts w:ascii="Calibri" w:hAnsi="Calibri" w:cs="Calibri"/>
                <w:sz w:val="20"/>
                <w:szCs w:val="20"/>
              </w:rPr>
            </w:pPr>
            <w:r w:rsidRPr="009B5509">
              <w:rPr>
                <w:rFonts w:ascii="Calibri" w:hAnsi="Calibri" w:cs="Calibri"/>
                <w:sz w:val="20"/>
                <w:szCs w:val="20"/>
              </w:rPr>
              <w:t xml:space="preserve"> 50 </w:t>
            </w:r>
          </w:p>
        </w:tc>
        <w:tc>
          <w:tcPr>
            <w:tcW w:w="85" w:type="dxa"/>
            <w:tcBorders>
              <w:top w:val="nil"/>
              <w:bottom w:val="nil"/>
            </w:tcBorders>
            <w:shd w:val="clear" w:color="auto" w:fill="auto"/>
            <w:noWrap/>
          </w:tcPr>
          <w:p w14:paraId="413A1FFF" w14:textId="77777777" w:rsidR="00461F20" w:rsidRPr="009B5509" w:rsidRDefault="00461F20" w:rsidP="00461F20">
            <w:pPr>
              <w:jc w:val="right"/>
              <w:rPr>
                <w:rFonts w:ascii="Calibri" w:hAnsi="Calibri" w:cs="Calibri"/>
                <w:sz w:val="20"/>
                <w:szCs w:val="20"/>
              </w:rPr>
            </w:pPr>
          </w:p>
        </w:tc>
        <w:tc>
          <w:tcPr>
            <w:tcW w:w="4154" w:type="dxa"/>
            <w:vAlign w:val="center"/>
          </w:tcPr>
          <w:p w14:paraId="6DEA5EDD" w14:textId="77777777" w:rsidR="00461F20" w:rsidRPr="009B5509" w:rsidRDefault="00461F20" w:rsidP="00461F20">
            <w:pPr>
              <w:rPr>
                <w:rFonts w:ascii="Calibri" w:hAnsi="Calibri" w:cs="Calibri"/>
                <w:bCs/>
                <w:sz w:val="20"/>
                <w:szCs w:val="20"/>
              </w:rPr>
            </w:pPr>
            <w:r w:rsidRPr="009B5509">
              <w:rPr>
                <w:rFonts w:ascii="Calibri" w:hAnsi="Calibri" w:cs="Calibri"/>
                <w:bCs/>
                <w:sz w:val="20"/>
                <w:szCs w:val="20"/>
              </w:rPr>
              <w:t>American Indian or Alaska Native &amp; White</w:t>
            </w:r>
          </w:p>
        </w:tc>
        <w:tc>
          <w:tcPr>
            <w:tcW w:w="900" w:type="dxa"/>
          </w:tcPr>
          <w:p w14:paraId="53462D55" w14:textId="44802F1A" w:rsidR="00461F20" w:rsidRPr="009B5509" w:rsidRDefault="00461F20" w:rsidP="00461F20">
            <w:pPr>
              <w:rPr>
                <w:rFonts w:ascii="Calibri" w:hAnsi="Calibri" w:cs="Calibri"/>
                <w:sz w:val="20"/>
                <w:szCs w:val="20"/>
              </w:rPr>
            </w:pPr>
            <w:r w:rsidRPr="009B5509">
              <w:rPr>
                <w:rFonts w:ascii="Calibri" w:hAnsi="Calibri" w:cs="Calibri"/>
                <w:sz w:val="20"/>
                <w:szCs w:val="20"/>
              </w:rPr>
              <w:t xml:space="preserve"> 268 </w:t>
            </w:r>
          </w:p>
        </w:tc>
      </w:tr>
      <w:tr w:rsidR="00461F20" w:rsidRPr="009B5509" w14:paraId="7D970599" w14:textId="77777777" w:rsidTr="00A61A4B">
        <w:trPr>
          <w:trHeight w:val="20"/>
          <w:jc w:val="center"/>
        </w:trPr>
        <w:tc>
          <w:tcPr>
            <w:tcW w:w="3065" w:type="dxa"/>
            <w:shd w:val="clear" w:color="auto" w:fill="auto"/>
            <w:vAlign w:val="center"/>
          </w:tcPr>
          <w:p w14:paraId="07DB8B8C" w14:textId="77777777" w:rsidR="00461F20" w:rsidRPr="009B5509" w:rsidRDefault="00461F20" w:rsidP="00461F20">
            <w:pPr>
              <w:rPr>
                <w:rFonts w:ascii="Calibri" w:hAnsi="Calibri" w:cs="Calibri"/>
                <w:bCs/>
                <w:color w:val="000000"/>
                <w:sz w:val="20"/>
                <w:szCs w:val="20"/>
              </w:rPr>
            </w:pPr>
            <w:r w:rsidRPr="009B5509">
              <w:rPr>
                <w:rFonts w:ascii="Calibri" w:hAnsi="Calibri" w:cs="Calibri"/>
                <w:bCs/>
                <w:color w:val="000000"/>
                <w:sz w:val="20"/>
                <w:szCs w:val="20"/>
              </w:rPr>
              <w:t>American Indian</w:t>
            </w:r>
          </w:p>
        </w:tc>
        <w:tc>
          <w:tcPr>
            <w:tcW w:w="1071" w:type="dxa"/>
          </w:tcPr>
          <w:p w14:paraId="0C853F2C" w14:textId="4CCF082A" w:rsidR="00461F20" w:rsidRPr="009B5509" w:rsidRDefault="00461F20" w:rsidP="00461F20">
            <w:pPr>
              <w:jc w:val="center"/>
              <w:rPr>
                <w:rFonts w:ascii="Calibri" w:hAnsi="Calibri" w:cs="Calibri"/>
                <w:sz w:val="20"/>
                <w:szCs w:val="20"/>
              </w:rPr>
            </w:pPr>
            <w:r w:rsidRPr="009B5509">
              <w:rPr>
                <w:rFonts w:ascii="Calibri" w:hAnsi="Calibri" w:cs="Calibri"/>
                <w:sz w:val="20"/>
                <w:szCs w:val="20"/>
              </w:rPr>
              <w:t xml:space="preserve"> 391 </w:t>
            </w:r>
          </w:p>
        </w:tc>
        <w:tc>
          <w:tcPr>
            <w:tcW w:w="85" w:type="dxa"/>
            <w:tcBorders>
              <w:top w:val="nil"/>
              <w:bottom w:val="nil"/>
            </w:tcBorders>
            <w:shd w:val="clear" w:color="auto" w:fill="auto"/>
            <w:noWrap/>
          </w:tcPr>
          <w:p w14:paraId="6ED52F22" w14:textId="77777777" w:rsidR="00461F20" w:rsidRPr="009B5509" w:rsidRDefault="00461F20" w:rsidP="00461F20">
            <w:pPr>
              <w:jc w:val="right"/>
              <w:rPr>
                <w:rFonts w:ascii="Calibri" w:hAnsi="Calibri" w:cs="Calibri"/>
                <w:sz w:val="20"/>
                <w:szCs w:val="20"/>
              </w:rPr>
            </w:pPr>
          </w:p>
        </w:tc>
        <w:tc>
          <w:tcPr>
            <w:tcW w:w="4154" w:type="dxa"/>
            <w:vAlign w:val="center"/>
          </w:tcPr>
          <w:p w14:paraId="037E1561" w14:textId="77777777" w:rsidR="00461F20" w:rsidRPr="009B5509" w:rsidRDefault="00461F20" w:rsidP="00461F20">
            <w:pPr>
              <w:rPr>
                <w:rFonts w:ascii="Calibri" w:hAnsi="Calibri" w:cs="Calibri"/>
                <w:bCs/>
                <w:sz w:val="20"/>
                <w:szCs w:val="20"/>
              </w:rPr>
            </w:pPr>
            <w:r w:rsidRPr="009B5509">
              <w:rPr>
                <w:rFonts w:ascii="Calibri" w:hAnsi="Calibri" w:cs="Calibri"/>
                <w:bCs/>
                <w:sz w:val="20"/>
                <w:szCs w:val="20"/>
              </w:rPr>
              <w:t>Asian and White</w:t>
            </w:r>
          </w:p>
        </w:tc>
        <w:tc>
          <w:tcPr>
            <w:tcW w:w="900" w:type="dxa"/>
          </w:tcPr>
          <w:p w14:paraId="1706DE9E" w14:textId="6985C4B0" w:rsidR="00461F20" w:rsidRPr="009B5509" w:rsidRDefault="00461F20" w:rsidP="00461F20">
            <w:pPr>
              <w:rPr>
                <w:rFonts w:ascii="Calibri" w:hAnsi="Calibri" w:cs="Calibri"/>
                <w:sz w:val="20"/>
                <w:szCs w:val="20"/>
              </w:rPr>
            </w:pPr>
            <w:r w:rsidRPr="009B5509">
              <w:rPr>
                <w:rFonts w:ascii="Calibri" w:hAnsi="Calibri" w:cs="Calibri"/>
                <w:sz w:val="20"/>
                <w:szCs w:val="20"/>
              </w:rPr>
              <w:t xml:space="preserve"> 530 </w:t>
            </w:r>
          </w:p>
        </w:tc>
      </w:tr>
      <w:tr w:rsidR="00461F20" w:rsidRPr="009B5509" w14:paraId="11C8C8DE" w14:textId="77777777" w:rsidTr="00A61A4B">
        <w:trPr>
          <w:trHeight w:val="20"/>
          <w:jc w:val="center"/>
        </w:trPr>
        <w:tc>
          <w:tcPr>
            <w:tcW w:w="3065" w:type="dxa"/>
            <w:shd w:val="clear" w:color="auto" w:fill="auto"/>
            <w:vAlign w:val="center"/>
          </w:tcPr>
          <w:p w14:paraId="25BEB33F" w14:textId="5925F74F" w:rsidR="00461F20" w:rsidRPr="009B5509" w:rsidRDefault="00461F20" w:rsidP="00461F20">
            <w:pPr>
              <w:rPr>
                <w:rFonts w:ascii="Calibri" w:hAnsi="Calibri" w:cs="Calibri"/>
                <w:bCs/>
                <w:color w:val="000000"/>
                <w:sz w:val="20"/>
                <w:szCs w:val="20"/>
              </w:rPr>
            </w:pPr>
            <w:r w:rsidRPr="009B5509">
              <w:rPr>
                <w:rFonts w:ascii="Calibri" w:hAnsi="Calibri" w:cs="Calibri"/>
                <w:bCs/>
                <w:color w:val="000000"/>
                <w:sz w:val="20"/>
                <w:szCs w:val="20"/>
              </w:rPr>
              <w:t>Pacific Islander</w:t>
            </w:r>
          </w:p>
        </w:tc>
        <w:tc>
          <w:tcPr>
            <w:tcW w:w="1071" w:type="dxa"/>
          </w:tcPr>
          <w:p w14:paraId="1FEF4AAF" w14:textId="671AF3B6" w:rsidR="00461F20" w:rsidRPr="009B5509" w:rsidRDefault="00461F20" w:rsidP="00461F20">
            <w:pPr>
              <w:jc w:val="center"/>
              <w:rPr>
                <w:rFonts w:ascii="Calibri" w:hAnsi="Calibri" w:cs="Calibri"/>
                <w:sz w:val="20"/>
                <w:szCs w:val="20"/>
              </w:rPr>
            </w:pPr>
            <w:r w:rsidRPr="009B5509">
              <w:rPr>
                <w:rFonts w:ascii="Calibri" w:hAnsi="Calibri" w:cs="Calibri"/>
                <w:sz w:val="20"/>
                <w:szCs w:val="20"/>
              </w:rPr>
              <w:t xml:space="preserve"> 0   </w:t>
            </w:r>
          </w:p>
        </w:tc>
        <w:tc>
          <w:tcPr>
            <w:tcW w:w="85" w:type="dxa"/>
            <w:tcBorders>
              <w:top w:val="nil"/>
              <w:bottom w:val="nil"/>
            </w:tcBorders>
            <w:shd w:val="clear" w:color="auto" w:fill="auto"/>
            <w:noWrap/>
          </w:tcPr>
          <w:p w14:paraId="3A10EA66" w14:textId="77777777" w:rsidR="00461F20" w:rsidRPr="009B5509" w:rsidRDefault="00461F20" w:rsidP="00461F20">
            <w:pPr>
              <w:jc w:val="right"/>
              <w:rPr>
                <w:rFonts w:ascii="Calibri" w:hAnsi="Calibri" w:cs="Calibri"/>
                <w:sz w:val="20"/>
                <w:szCs w:val="20"/>
              </w:rPr>
            </w:pPr>
          </w:p>
        </w:tc>
        <w:tc>
          <w:tcPr>
            <w:tcW w:w="4154" w:type="dxa"/>
            <w:vAlign w:val="center"/>
          </w:tcPr>
          <w:p w14:paraId="35FD2831" w14:textId="77777777" w:rsidR="00461F20" w:rsidRPr="009B5509" w:rsidRDefault="00461F20" w:rsidP="00461F20">
            <w:pPr>
              <w:rPr>
                <w:rFonts w:ascii="Calibri" w:hAnsi="Calibri" w:cs="Calibri"/>
                <w:bCs/>
                <w:sz w:val="20"/>
                <w:szCs w:val="20"/>
              </w:rPr>
            </w:pPr>
            <w:r w:rsidRPr="009B5509">
              <w:rPr>
                <w:rFonts w:ascii="Calibri" w:hAnsi="Calibri" w:cs="Calibri"/>
                <w:bCs/>
                <w:sz w:val="20"/>
                <w:szCs w:val="20"/>
              </w:rPr>
              <w:t>Black or African American and White</w:t>
            </w:r>
          </w:p>
        </w:tc>
        <w:tc>
          <w:tcPr>
            <w:tcW w:w="900" w:type="dxa"/>
          </w:tcPr>
          <w:p w14:paraId="4BFBB12C" w14:textId="26F68ACA" w:rsidR="00461F20" w:rsidRPr="009B5509" w:rsidRDefault="00461F20" w:rsidP="00461F20">
            <w:pPr>
              <w:rPr>
                <w:rFonts w:ascii="Calibri" w:hAnsi="Calibri" w:cs="Calibri"/>
                <w:sz w:val="20"/>
                <w:szCs w:val="20"/>
              </w:rPr>
            </w:pPr>
            <w:r w:rsidRPr="009B5509">
              <w:rPr>
                <w:rFonts w:ascii="Calibri" w:hAnsi="Calibri" w:cs="Calibri"/>
                <w:sz w:val="20"/>
                <w:szCs w:val="20"/>
              </w:rPr>
              <w:t xml:space="preserve"> 4,761 </w:t>
            </w:r>
          </w:p>
        </w:tc>
      </w:tr>
      <w:tr w:rsidR="00461F20" w:rsidRPr="009B5509" w14:paraId="37F4AF8D" w14:textId="77777777" w:rsidTr="00A61A4B">
        <w:trPr>
          <w:trHeight w:val="20"/>
          <w:jc w:val="center"/>
        </w:trPr>
        <w:tc>
          <w:tcPr>
            <w:tcW w:w="3065" w:type="dxa"/>
            <w:shd w:val="clear" w:color="auto" w:fill="auto"/>
            <w:vAlign w:val="center"/>
          </w:tcPr>
          <w:p w14:paraId="5ECEA4FE" w14:textId="77777777" w:rsidR="00461F20" w:rsidRPr="009B5509" w:rsidRDefault="00461F20" w:rsidP="00461F20">
            <w:pPr>
              <w:rPr>
                <w:rFonts w:ascii="Calibri" w:hAnsi="Calibri" w:cs="Calibri"/>
                <w:bCs/>
                <w:color w:val="000000"/>
                <w:sz w:val="20"/>
                <w:szCs w:val="20"/>
              </w:rPr>
            </w:pPr>
            <w:r w:rsidRPr="009B5509">
              <w:rPr>
                <w:rFonts w:ascii="Calibri" w:hAnsi="Calibri" w:cs="Calibri"/>
                <w:bCs/>
                <w:color w:val="000000"/>
                <w:sz w:val="20"/>
                <w:szCs w:val="20"/>
              </w:rPr>
              <w:t>Black or African American</w:t>
            </w:r>
          </w:p>
        </w:tc>
        <w:tc>
          <w:tcPr>
            <w:tcW w:w="1071" w:type="dxa"/>
          </w:tcPr>
          <w:p w14:paraId="389C94E4" w14:textId="156CE57A" w:rsidR="00461F20" w:rsidRPr="009B5509" w:rsidRDefault="00461F20" w:rsidP="00461F20">
            <w:pPr>
              <w:jc w:val="center"/>
              <w:rPr>
                <w:rFonts w:ascii="Calibri" w:hAnsi="Calibri" w:cs="Calibri"/>
                <w:sz w:val="20"/>
                <w:szCs w:val="20"/>
              </w:rPr>
            </w:pPr>
            <w:r w:rsidRPr="009B5509">
              <w:rPr>
                <w:rFonts w:ascii="Calibri" w:hAnsi="Calibri" w:cs="Calibri"/>
                <w:sz w:val="20"/>
                <w:szCs w:val="20"/>
              </w:rPr>
              <w:t xml:space="preserve"> 56,421 </w:t>
            </w:r>
          </w:p>
        </w:tc>
        <w:tc>
          <w:tcPr>
            <w:tcW w:w="85" w:type="dxa"/>
            <w:tcBorders>
              <w:top w:val="nil"/>
              <w:bottom w:val="nil"/>
            </w:tcBorders>
            <w:shd w:val="clear" w:color="auto" w:fill="auto"/>
            <w:noWrap/>
          </w:tcPr>
          <w:p w14:paraId="6A08C8E4" w14:textId="77777777" w:rsidR="00461F20" w:rsidRPr="009B5509" w:rsidRDefault="00461F20" w:rsidP="00461F20">
            <w:pPr>
              <w:jc w:val="right"/>
              <w:rPr>
                <w:rFonts w:ascii="Calibri" w:hAnsi="Calibri" w:cs="Calibri"/>
                <w:sz w:val="20"/>
                <w:szCs w:val="20"/>
              </w:rPr>
            </w:pPr>
          </w:p>
        </w:tc>
        <w:tc>
          <w:tcPr>
            <w:tcW w:w="4154" w:type="dxa"/>
            <w:vAlign w:val="center"/>
          </w:tcPr>
          <w:p w14:paraId="6E0FB967" w14:textId="77777777" w:rsidR="00461F20" w:rsidRPr="009B5509" w:rsidRDefault="00461F20" w:rsidP="00461F20">
            <w:pPr>
              <w:rPr>
                <w:rFonts w:ascii="Calibri" w:hAnsi="Calibri" w:cs="Calibri"/>
                <w:bCs/>
                <w:sz w:val="20"/>
                <w:szCs w:val="20"/>
              </w:rPr>
            </w:pPr>
            <w:r w:rsidRPr="009B5509">
              <w:rPr>
                <w:rFonts w:ascii="Calibri" w:hAnsi="Calibri" w:cs="Calibri"/>
                <w:bCs/>
                <w:sz w:val="20"/>
                <w:szCs w:val="20"/>
              </w:rPr>
              <w:t>American Indian or Alaska Native &amp; Black</w:t>
            </w:r>
          </w:p>
        </w:tc>
        <w:tc>
          <w:tcPr>
            <w:tcW w:w="900" w:type="dxa"/>
          </w:tcPr>
          <w:p w14:paraId="6C4897CE" w14:textId="6DD46728" w:rsidR="00461F20" w:rsidRPr="009B5509" w:rsidRDefault="00461F20" w:rsidP="00461F20">
            <w:pPr>
              <w:rPr>
                <w:rFonts w:ascii="Calibri" w:hAnsi="Calibri" w:cs="Calibri"/>
                <w:sz w:val="20"/>
                <w:szCs w:val="20"/>
              </w:rPr>
            </w:pPr>
            <w:r w:rsidRPr="009B5509">
              <w:rPr>
                <w:rFonts w:ascii="Calibri" w:hAnsi="Calibri" w:cs="Calibri"/>
                <w:sz w:val="20"/>
                <w:szCs w:val="20"/>
              </w:rPr>
              <w:t xml:space="preserve"> 181 </w:t>
            </w:r>
          </w:p>
        </w:tc>
      </w:tr>
      <w:tr w:rsidR="00461F20" w:rsidRPr="009B5509" w14:paraId="12208082" w14:textId="77777777" w:rsidTr="00A61A4B">
        <w:trPr>
          <w:trHeight w:val="20"/>
          <w:jc w:val="center"/>
        </w:trPr>
        <w:tc>
          <w:tcPr>
            <w:tcW w:w="3065" w:type="dxa"/>
            <w:shd w:val="clear" w:color="auto" w:fill="auto"/>
            <w:vAlign w:val="center"/>
          </w:tcPr>
          <w:p w14:paraId="40FF757C" w14:textId="77777777" w:rsidR="00461F20" w:rsidRPr="009B5509" w:rsidRDefault="00461F20" w:rsidP="00461F20">
            <w:pPr>
              <w:rPr>
                <w:rFonts w:ascii="Calibri" w:hAnsi="Calibri" w:cs="Calibri"/>
                <w:bCs/>
                <w:color w:val="000000"/>
                <w:sz w:val="20"/>
                <w:szCs w:val="20"/>
              </w:rPr>
            </w:pPr>
            <w:r w:rsidRPr="009B5509">
              <w:rPr>
                <w:rFonts w:ascii="Calibri" w:hAnsi="Calibri" w:cs="Calibri"/>
                <w:bCs/>
                <w:color w:val="000000"/>
                <w:sz w:val="20"/>
                <w:szCs w:val="20"/>
              </w:rPr>
              <w:t>White</w:t>
            </w:r>
          </w:p>
        </w:tc>
        <w:tc>
          <w:tcPr>
            <w:tcW w:w="1071" w:type="dxa"/>
          </w:tcPr>
          <w:p w14:paraId="234AF7E8" w14:textId="2547515B" w:rsidR="00461F20" w:rsidRPr="009B5509" w:rsidRDefault="00461F20" w:rsidP="00461F20">
            <w:pPr>
              <w:jc w:val="center"/>
              <w:rPr>
                <w:rFonts w:ascii="Calibri" w:hAnsi="Calibri" w:cs="Calibri"/>
                <w:sz w:val="20"/>
                <w:szCs w:val="20"/>
              </w:rPr>
            </w:pPr>
            <w:r w:rsidRPr="009B5509">
              <w:rPr>
                <w:rFonts w:ascii="Calibri" w:hAnsi="Calibri" w:cs="Calibri"/>
                <w:sz w:val="20"/>
                <w:szCs w:val="20"/>
              </w:rPr>
              <w:t xml:space="preserve"> 120,249 </w:t>
            </w:r>
          </w:p>
        </w:tc>
        <w:tc>
          <w:tcPr>
            <w:tcW w:w="85" w:type="dxa"/>
            <w:tcBorders>
              <w:top w:val="nil"/>
              <w:bottom w:val="nil"/>
            </w:tcBorders>
            <w:shd w:val="clear" w:color="auto" w:fill="auto"/>
            <w:noWrap/>
          </w:tcPr>
          <w:p w14:paraId="0E153B4D" w14:textId="77777777" w:rsidR="00461F20" w:rsidRPr="009B5509" w:rsidRDefault="00461F20" w:rsidP="00461F20">
            <w:pPr>
              <w:jc w:val="right"/>
              <w:rPr>
                <w:rFonts w:ascii="Calibri" w:hAnsi="Calibri" w:cs="Calibri"/>
                <w:sz w:val="20"/>
                <w:szCs w:val="20"/>
              </w:rPr>
            </w:pPr>
          </w:p>
        </w:tc>
        <w:tc>
          <w:tcPr>
            <w:tcW w:w="4154" w:type="dxa"/>
          </w:tcPr>
          <w:p w14:paraId="5F90BF67" w14:textId="77777777" w:rsidR="00461F20" w:rsidRPr="009B5509" w:rsidRDefault="00461F20" w:rsidP="00461F20">
            <w:pPr>
              <w:rPr>
                <w:rFonts w:ascii="Calibri" w:hAnsi="Calibri" w:cs="Calibri"/>
                <w:sz w:val="20"/>
                <w:szCs w:val="20"/>
              </w:rPr>
            </w:pPr>
            <w:r w:rsidRPr="009B5509">
              <w:rPr>
                <w:rFonts w:ascii="Calibri" w:hAnsi="Calibri" w:cs="Calibri"/>
                <w:sz w:val="20"/>
                <w:szCs w:val="20"/>
              </w:rPr>
              <w:t>Other Multi-Race</w:t>
            </w:r>
          </w:p>
        </w:tc>
        <w:tc>
          <w:tcPr>
            <w:tcW w:w="900" w:type="dxa"/>
          </w:tcPr>
          <w:p w14:paraId="4F0BC8BB" w14:textId="27AA2203" w:rsidR="00461F20" w:rsidRPr="009B5509" w:rsidRDefault="00461F20" w:rsidP="00461F20">
            <w:pPr>
              <w:rPr>
                <w:rFonts w:ascii="Calibri" w:hAnsi="Calibri" w:cs="Calibri"/>
                <w:sz w:val="20"/>
                <w:szCs w:val="20"/>
              </w:rPr>
            </w:pPr>
            <w:r w:rsidRPr="009B5509">
              <w:rPr>
                <w:rFonts w:ascii="Calibri" w:hAnsi="Calibri" w:cs="Calibri"/>
                <w:sz w:val="20"/>
                <w:szCs w:val="20"/>
              </w:rPr>
              <w:t xml:space="preserve"> 3,339 </w:t>
            </w:r>
          </w:p>
        </w:tc>
      </w:tr>
      <w:tr w:rsidR="00461F20" w:rsidRPr="009B5509" w14:paraId="7C98C5A3" w14:textId="77777777" w:rsidTr="00A61A4B">
        <w:trPr>
          <w:trHeight w:val="20"/>
          <w:jc w:val="center"/>
        </w:trPr>
        <w:tc>
          <w:tcPr>
            <w:tcW w:w="3065" w:type="dxa"/>
            <w:shd w:val="clear" w:color="auto" w:fill="auto"/>
            <w:vAlign w:val="center"/>
          </w:tcPr>
          <w:p w14:paraId="03EEB526" w14:textId="77777777" w:rsidR="00461F20" w:rsidRPr="009B5509" w:rsidRDefault="00461F20" w:rsidP="00461F20">
            <w:pPr>
              <w:rPr>
                <w:rFonts w:ascii="Calibri" w:hAnsi="Calibri" w:cs="Calibri"/>
                <w:bCs/>
                <w:color w:val="000000"/>
                <w:sz w:val="20"/>
                <w:szCs w:val="20"/>
              </w:rPr>
            </w:pPr>
            <w:r w:rsidRPr="009B5509">
              <w:rPr>
                <w:rFonts w:ascii="Calibri" w:hAnsi="Calibri" w:cs="Calibri"/>
                <w:bCs/>
                <w:color w:val="000000"/>
                <w:sz w:val="20"/>
                <w:szCs w:val="20"/>
              </w:rPr>
              <w:t>Other</w:t>
            </w:r>
          </w:p>
        </w:tc>
        <w:tc>
          <w:tcPr>
            <w:tcW w:w="1071" w:type="dxa"/>
          </w:tcPr>
          <w:p w14:paraId="77A835F0" w14:textId="39B1F461" w:rsidR="00461F20" w:rsidRPr="009B5509" w:rsidRDefault="00461F20" w:rsidP="00461F20">
            <w:pPr>
              <w:jc w:val="center"/>
              <w:rPr>
                <w:rFonts w:ascii="Calibri" w:hAnsi="Calibri" w:cs="Calibri"/>
                <w:sz w:val="20"/>
                <w:szCs w:val="20"/>
              </w:rPr>
            </w:pPr>
            <w:r w:rsidRPr="009B5509">
              <w:rPr>
                <w:rFonts w:ascii="Calibri" w:hAnsi="Calibri" w:cs="Calibri"/>
                <w:sz w:val="20"/>
                <w:szCs w:val="20"/>
              </w:rPr>
              <w:t xml:space="preserve"> 11,793 </w:t>
            </w:r>
          </w:p>
        </w:tc>
        <w:tc>
          <w:tcPr>
            <w:tcW w:w="85" w:type="dxa"/>
            <w:tcBorders>
              <w:top w:val="nil"/>
              <w:bottom w:val="nil"/>
            </w:tcBorders>
            <w:shd w:val="clear" w:color="auto" w:fill="auto"/>
            <w:noWrap/>
          </w:tcPr>
          <w:p w14:paraId="0B2A2ECD" w14:textId="77777777" w:rsidR="00461F20" w:rsidRPr="009B5509" w:rsidRDefault="00461F20" w:rsidP="00461F20">
            <w:pPr>
              <w:jc w:val="right"/>
              <w:rPr>
                <w:rFonts w:ascii="Calibri" w:hAnsi="Calibri" w:cs="Calibri"/>
                <w:sz w:val="20"/>
                <w:szCs w:val="20"/>
              </w:rPr>
            </w:pPr>
          </w:p>
        </w:tc>
        <w:tc>
          <w:tcPr>
            <w:tcW w:w="4154" w:type="dxa"/>
          </w:tcPr>
          <w:p w14:paraId="6C5236A0" w14:textId="77777777" w:rsidR="00461F20" w:rsidRPr="009B5509" w:rsidRDefault="00461F20" w:rsidP="00461F20">
            <w:pPr>
              <w:rPr>
                <w:rFonts w:ascii="Calibri" w:hAnsi="Calibri" w:cs="Calibri"/>
                <w:bCs/>
                <w:sz w:val="20"/>
                <w:szCs w:val="20"/>
              </w:rPr>
            </w:pPr>
            <w:r w:rsidRPr="009B5509">
              <w:rPr>
                <w:rFonts w:ascii="Calibri" w:hAnsi="Calibri" w:cs="Calibri"/>
                <w:bCs/>
                <w:sz w:val="20"/>
                <w:szCs w:val="20"/>
              </w:rPr>
              <w:t>Unknown</w:t>
            </w:r>
          </w:p>
        </w:tc>
        <w:tc>
          <w:tcPr>
            <w:tcW w:w="900" w:type="dxa"/>
          </w:tcPr>
          <w:p w14:paraId="29069542" w14:textId="020517CA" w:rsidR="00461F20" w:rsidRPr="009B5509" w:rsidRDefault="00461F20" w:rsidP="00461F20">
            <w:pPr>
              <w:rPr>
                <w:rFonts w:ascii="Calibri" w:hAnsi="Calibri" w:cs="Calibri"/>
                <w:sz w:val="20"/>
                <w:szCs w:val="20"/>
              </w:rPr>
            </w:pPr>
            <w:r w:rsidRPr="009B5509">
              <w:rPr>
                <w:rFonts w:ascii="Calibri" w:hAnsi="Calibri" w:cs="Calibri"/>
                <w:sz w:val="20"/>
                <w:szCs w:val="20"/>
              </w:rPr>
              <w:t xml:space="preserve"> 7,807 </w:t>
            </w:r>
          </w:p>
        </w:tc>
      </w:tr>
      <w:tr w:rsidR="00461F20" w:rsidRPr="009B5509" w14:paraId="5C65157F" w14:textId="77777777" w:rsidTr="00A61A4B">
        <w:trPr>
          <w:trHeight w:val="20"/>
          <w:jc w:val="center"/>
        </w:trPr>
        <w:tc>
          <w:tcPr>
            <w:tcW w:w="3065" w:type="dxa"/>
            <w:shd w:val="clear" w:color="auto" w:fill="auto"/>
            <w:vAlign w:val="center"/>
          </w:tcPr>
          <w:p w14:paraId="0BE2F50E" w14:textId="77777777" w:rsidR="00461F20" w:rsidRPr="009B5509" w:rsidRDefault="00461F20" w:rsidP="00461F20">
            <w:pPr>
              <w:rPr>
                <w:rFonts w:ascii="Calibri" w:hAnsi="Calibri" w:cs="Calibri"/>
                <w:bCs/>
                <w:color w:val="000000"/>
                <w:sz w:val="20"/>
                <w:szCs w:val="20"/>
              </w:rPr>
            </w:pPr>
            <w:r w:rsidRPr="009B5509">
              <w:rPr>
                <w:rFonts w:ascii="Calibri" w:hAnsi="Calibri" w:cs="Calibri"/>
                <w:bCs/>
                <w:color w:val="000000"/>
                <w:sz w:val="20"/>
                <w:szCs w:val="20"/>
              </w:rPr>
              <w:t>Asian</w:t>
            </w:r>
          </w:p>
        </w:tc>
        <w:tc>
          <w:tcPr>
            <w:tcW w:w="1071" w:type="dxa"/>
          </w:tcPr>
          <w:p w14:paraId="1CDFD0DC" w14:textId="3CB71147" w:rsidR="00461F20" w:rsidRPr="009B5509" w:rsidRDefault="00461F20" w:rsidP="00461F20">
            <w:pPr>
              <w:jc w:val="center"/>
              <w:rPr>
                <w:rFonts w:ascii="Calibri" w:hAnsi="Calibri" w:cs="Calibri"/>
                <w:sz w:val="20"/>
                <w:szCs w:val="20"/>
              </w:rPr>
            </w:pPr>
            <w:r w:rsidRPr="009B5509">
              <w:rPr>
                <w:rFonts w:ascii="Calibri" w:hAnsi="Calibri" w:cs="Calibri"/>
                <w:sz w:val="20"/>
                <w:szCs w:val="20"/>
              </w:rPr>
              <w:t xml:space="preserve"> 4,090 </w:t>
            </w:r>
          </w:p>
        </w:tc>
        <w:tc>
          <w:tcPr>
            <w:tcW w:w="85" w:type="dxa"/>
            <w:tcBorders>
              <w:top w:val="nil"/>
              <w:bottom w:val="nil"/>
            </w:tcBorders>
            <w:shd w:val="clear" w:color="auto" w:fill="auto"/>
            <w:noWrap/>
          </w:tcPr>
          <w:p w14:paraId="515C594B" w14:textId="77777777" w:rsidR="00461F20" w:rsidRPr="009B5509" w:rsidRDefault="00461F20" w:rsidP="00461F20">
            <w:pPr>
              <w:jc w:val="right"/>
              <w:rPr>
                <w:rFonts w:ascii="Calibri" w:hAnsi="Calibri" w:cs="Calibri"/>
                <w:sz w:val="20"/>
                <w:szCs w:val="20"/>
              </w:rPr>
            </w:pPr>
          </w:p>
        </w:tc>
        <w:tc>
          <w:tcPr>
            <w:tcW w:w="4154" w:type="dxa"/>
          </w:tcPr>
          <w:p w14:paraId="5EDA7620" w14:textId="77777777" w:rsidR="00461F20" w:rsidRPr="009B5509" w:rsidRDefault="00461F20" w:rsidP="00461F20">
            <w:pPr>
              <w:rPr>
                <w:rFonts w:ascii="Calibri" w:hAnsi="Calibri" w:cs="Calibri"/>
                <w:bCs/>
                <w:sz w:val="20"/>
                <w:szCs w:val="20"/>
              </w:rPr>
            </w:pPr>
            <w:r w:rsidRPr="009B5509">
              <w:rPr>
                <w:rFonts w:ascii="Calibri" w:hAnsi="Calibri" w:cs="Calibri"/>
                <w:bCs/>
                <w:sz w:val="20"/>
                <w:szCs w:val="20"/>
              </w:rPr>
              <w:t>Not Collected</w:t>
            </w:r>
          </w:p>
        </w:tc>
        <w:tc>
          <w:tcPr>
            <w:tcW w:w="900" w:type="dxa"/>
          </w:tcPr>
          <w:p w14:paraId="7DF28855" w14:textId="5B0CD6AC" w:rsidR="00461F20" w:rsidRPr="009B5509" w:rsidRDefault="00461F20" w:rsidP="00461F20">
            <w:pPr>
              <w:rPr>
                <w:rFonts w:ascii="Calibri" w:hAnsi="Calibri" w:cs="Calibri"/>
                <w:sz w:val="20"/>
                <w:szCs w:val="20"/>
              </w:rPr>
            </w:pPr>
            <w:r w:rsidRPr="009B5509">
              <w:rPr>
                <w:rFonts w:ascii="Calibri" w:hAnsi="Calibri" w:cs="Calibri"/>
                <w:sz w:val="20"/>
                <w:szCs w:val="20"/>
              </w:rPr>
              <w:t xml:space="preserve"> 0   </w:t>
            </w:r>
          </w:p>
        </w:tc>
      </w:tr>
      <w:tr w:rsidR="00461F20" w:rsidRPr="009B5509" w14:paraId="0A85F36E" w14:textId="77777777" w:rsidTr="00A61A4B">
        <w:trPr>
          <w:trHeight w:val="20"/>
          <w:jc w:val="center"/>
        </w:trPr>
        <w:tc>
          <w:tcPr>
            <w:tcW w:w="3065" w:type="dxa"/>
            <w:shd w:val="clear" w:color="auto" w:fill="auto"/>
            <w:vAlign w:val="center"/>
          </w:tcPr>
          <w:p w14:paraId="081701FB" w14:textId="77777777" w:rsidR="00461F20" w:rsidRPr="009B5509" w:rsidRDefault="00461F20" w:rsidP="00461F20">
            <w:pPr>
              <w:jc w:val="both"/>
              <w:rPr>
                <w:rFonts w:ascii="Calibri" w:hAnsi="Calibri" w:cs="Calibri"/>
                <w:bCs/>
                <w:color w:val="000000"/>
                <w:sz w:val="20"/>
                <w:szCs w:val="20"/>
              </w:rPr>
            </w:pPr>
            <w:r w:rsidRPr="009B5509">
              <w:rPr>
                <w:rFonts w:ascii="Calibri" w:hAnsi="Calibri" w:cs="Calibri"/>
                <w:bCs/>
                <w:color w:val="000000"/>
                <w:sz w:val="20"/>
                <w:szCs w:val="20"/>
              </w:rPr>
              <w:t>Pacific Islander</w:t>
            </w:r>
          </w:p>
        </w:tc>
        <w:tc>
          <w:tcPr>
            <w:tcW w:w="1071" w:type="dxa"/>
          </w:tcPr>
          <w:p w14:paraId="75B39CB9" w14:textId="6FE12D67" w:rsidR="00461F20" w:rsidRPr="009B5509" w:rsidRDefault="00461F20" w:rsidP="00461F20">
            <w:pPr>
              <w:jc w:val="center"/>
              <w:rPr>
                <w:rFonts w:ascii="Calibri" w:hAnsi="Calibri" w:cs="Calibri"/>
                <w:sz w:val="20"/>
                <w:szCs w:val="20"/>
              </w:rPr>
            </w:pPr>
            <w:r w:rsidRPr="009B5509">
              <w:rPr>
                <w:rFonts w:ascii="Calibri" w:hAnsi="Calibri" w:cs="Calibri"/>
                <w:sz w:val="20"/>
                <w:szCs w:val="20"/>
              </w:rPr>
              <w:t xml:space="preserve"> 198 </w:t>
            </w:r>
          </w:p>
        </w:tc>
        <w:tc>
          <w:tcPr>
            <w:tcW w:w="85" w:type="dxa"/>
            <w:tcBorders>
              <w:top w:val="nil"/>
            </w:tcBorders>
            <w:shd w:val="clear" w:color="auto" w:fill="auto"/>
            <w:noWrap/>
          </w:tcPr>
          <w:p w14:paraId="06905B4C" w14:textId="77777777" w:rsidR="00461F20" w:rsidRPr="009B5509" w:rsidRDefault="00461F20" w:rsidP="00461F20">
            <w:pPr>
              <w:jc w:val="right"/>
              <w:rPr>
                <w:rFonts w:ascii="Calibri" w:hAnsi="Calibri" w:cs="Calibri"/>
                <w:sz w:val="20"/>
                <w:szCs w:val="20"/>
              </w:rPr>
            </w:pPr>
          </w:p>
        </w:tc>
        <w:tc>
          <w:tcPr>
            <w:tcW w:w="4154" w:type="dxa"/>
          </w:tcPr>
          <w:p w14:paraId="6B0B3046" w14:textId="39865E63" w:rsidR="00461F20" w:rsidRPr="009B5509" w:rsidRDefault="00461F20" w:rsidP="00461F20">
            <w:pPr>
              <w:rPr>
                <w:rFonts w:ascii="Calibri" w:hAnsi="Calibri" w:cs="Calibri"/>
                <w:bCs/>
                <w:sz w:val="20"/>
                <w:szCs w:val="20"/>
              </w:rPr>
            </w:pPr>
            <w:r w:rsidRPr="009B5509">
              <w:rPr>
                <w:rFonts w:ascii="Calibri" w:hAnsi="Calibri" w:cs="Calibri"/>
                <w:bCs/>
                <w:sz w:val="20"/>
                <w:szCs w:val="20"/>
              </w:rPr>
              <w:t xml:space="preserve">Total Unduplicated Individuals </w:t>
            </w:r>
          </w:p>
        </w:tc>
        <w:tc>
          <w:tcPr>
            <w:tcW w:w="900" w:type="dxa"/>
          </w:tcPr>
          <w:p w14:paraId="2747DA14" w14:textId="589C7DAA" w:rsidR="00461F20" w:rsidRPr="009B5509" w:rsidRDefault="00461F20" w:rsidP="00461F20">
            <w:pPr>
              <w:rPr>
                <w:rFonts w:ascii="Calibri" w:hAnsi="Calibri" w:cs="Calibri"/>
                <w:sz w:val="20"/>
                <w:szCs w:val="20"/>
              </w:rPr>
            </w:pPr>
            <w:r w:rsidRPr="009B5509">
              <w:rPr>
                <w:rFonts w:ascii="Calibri" w:hAnsi="Calibri" w:cs="Calibri"/>
                <w:sz w:val="20"/>
                <w:szCs w:val="20"/>
              </w:rPr>
              <w:t xml:space="preserve"> 210,078 </w:t>
            </w:r>
          </w:p>
        </w:tc>
      </w:tr>
    </w:tbl>
    <w:p w14:paraId="4FD88559" w14:textId="77777777" w:rsidR="003F400A" w:rsidRPr="009B5509" w:rsidRDefault="003F400A" w:rsidP="00F46923">
      <w:pPr>
        <w:rPr>
          <w:sz w:val="10"/>
          <w:szCs w:val="10"/>
        </w:rPr>
      </w:pPr>
    </w:p>
    <w:p w14:paraId="40807EA0" w14:textId="39E4D803" w:rsidR="003F400A" w:rsidRPr="009B5509" w:rsidRDefault="003F400A" w:rsidP="00F46923">
      <w:pPr>
        <w:spacing w:before="200" w:after="200"/>
      </w:pPr>
      <w:r w:rsidRPr="009B5509">
        <w:t xml:space="preserve">Figure </w:t>
      </w:r>
      <w:r w:rsidR="007E5D0B" w:rsidRPr="009B5509">
        <w:t>6</w:t>
      </w:r>
      <w:r w:rsidRPr="009B5509">
        <w:t>, below, contains data about CSB services for adults who have serious mental illness (SMI) or children</w:t>
      </w:r>
      <w:r w:rsidR="00A848C5">
        <w:t>/</w:t>
      </w:r>
      <w:r w:rsidRPr="009B5509">
        <w:t xml:space="preserve">adolescents who have or are at risk of serious emotional </w:t>
      </w:r>
      <w:proofErr w:type="gramStart"/>
      <w:r w:rsidRPr="009B5509">
        <w:t>disturbance  (</w:t>
      </w:r>
      <w:proofErr w:type="gramEnd"/>
      <w:r w:rsidRPr="009B5509">
        <w:t xml:space="preserve">SED).  </w:t>
      </w:r>
    </w:p>
    <w:tbl>
      <w:tblPr>
        <w:tblStyle w:val="TableGrid"/>
        <w:tblW w:w="711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8" w:type="dxa"/>
          <w:right w:w="58" w:type="dxa"/>
        </w:tblCellMar>
        <w:tblLook w:val="04A0" w:firstRow="1" w:lastRow="0" w:firstColumn="1" w:lastColumn="0" w:noHBand="0" w:noVBand="1"/>
      </w:tblPr>
      <w:tblGrid>
        <w:gridCol w:w="4680"/>
        <w:gridCol w:w="2430"/>
      </w:tblGrid>
      <w:tr w:rsidR="003F400A" w:rsidRPr="009B5509" w14:paraId="70916423" w14:textId="77777777" w:rsidTr="00A61A4B">
        <w:trPr>
          <w:jc w:val="center"/>
        </w:trPr>
        <w:tc>
          <w:tcPr>
            <w:tcW w:w="7110" w:type="dxa"/>
            <w:gridSpan w:val="2"/>
          </w:tcPr>
          <w:p w14:paraId="1C868B0E" w14:textId="6E63E1E8" w:rsidR="003F400A" w:rsidRPr="009B5509" w:rsidRDefault="003F400A" w:rsidP="00F46923">
            <w:pPr>
              <w:jc w:val="center"/>
              <w:rPr>
                <w:rFonts w:ascii="Calibri" w:hAnsi="Calibri" w:cs="Calibri"/>
                <w:color w:val="365F91" w:themeColor="accent1" w:themeShade="BF"/>
                <w:sz w:val="20"/>
                <w:szCs w:val="20"/>
              </w:rPr>
            </w:pPr>
            <w:r w:rsidRPr="009B5509">
              <w:rPr>
                <w:rFonts w:ascii="Calibri" w:hAnsi="Calibri" w:cs="Calibri"/>
                <w:b/>
                <w:color w:val="365F91" w:themeColor="accent1" w:themeShade="BF"/>
                <w:sz w:val="20"/>
                <w:szCs w:val="20"/>
              </w:rPr>
              <w:t xml:space="preserve">Figure </w:t>
            </w:r>
            <w:r w:rsidR="007E5D0B" w:rsidRPr="009B5509">
              <w:rPr>
                <w:rFonts w:ascii="Calibri" w:hAnsi="Calibri" w:cs="Calibri"/>
                <w:b/>
                <w:color w:val="365F91" w:themeColor="accent1" w:themeShade="BF"/>
                <w:sz w:val="20"/>
                <w:szCs w:val="20"/>
              </w:rPr>
              <w:t>6</w:t>
            </w:r>
            <w:r w:rsidRPr="009B5509">
              <w:rPr>
                <w:rFonts w:ascii="Calibri" w:hAnsi="Calibri" w:cs="Calibri"/>
                <w:b/>
                <w:color w:val="365F91" w:themeColor="accent1" w:themeShade="BF"/>
                <w:sz w:val="20"/>
                <w:szCs w:val="20"/>
              </w:rPr>
              <w:t xml:space="preserve">:  Individuals </w:t>
            </w:r>
            <w:r w:rsidR="009B5509" w:rsidRPr="009B5509">
              <w:rPr>
                <w:rFonts w:ascii="Calibri" w:hAnsi="Calibri" w:cs="Calibri"/>
                <w:b/>
                <w:color w:val="365F91" w:themeColor="accent1" w:themeShade="BF"/>
                <w:sz w:val="20"/>
                <w:szCs w:val="20"/>
              </w:rPr>
              <w:t>with</w:t>
            </w:r>
            <w:r w:rsidRPr="009B5509">
              <w:rPr>
                <w:rFonts w:ascii="Calibri" w:hAnsi="Calibri" w:cs="Calibri"/>
                <w:b/>
                <w:color w:val="365F91" w:themeColor="accent1" w:themeShade="BF"/>
                <w:sz w:val="20"/>
                <w:szCs w:val="20"/>
              </w:rPr>
              <w:t xml:space="preserve"> SMI or SED Who Received CSB MH Services in FY 202</w:t>
            </w:r>
            <w:r w:rsidR="004023E5" w:rsidRPr="009B5509">
              <w:rPr>
                <w:rFonts w:ascii="Calibri" w:hAnsi="Calibri" w:cs="Calibri"/>
                <w:b/>
                <w:color w:val="365F91" w:themeColor="accent1" w:themeShade="BF"/>
                <w:sz w:val="20"/>
                <w:szCs w:val="20"/>
              </w:rPr>
              <w:t>2</w:t>
            </w:r>
          </w:p>
        </w:tc>
      </w:tr>
      <w:tr w:rsidR="0068340B" w:rsidRPr="009B5509" w14:paraId="4D88B7A9" w14:textId="77777777" w:rsidTr="00A61A4B">
        <w:trPr>
          <w:jc w:val="center"/>
        </w:trPr>
        <w:tc>
          <w:tcPr>
            <w:tcW w:w="4680" w:type="dxa"/>
          </w:tcPr>
          <w:p w14:paraId="14BB7A92" w14:textId="77777777" w:rsidR="0068340B" w:rsidRPr="009B5509" w:rsidRDefault="0068340B" w:rsidP="0068340B">
            <w:pPr>
              <w:rPr>
                <w:rFonts w:ascii="Calibri" w:hAnsi="Calibri" w:cs="Calibri"/>
                <w:sz w:val="20"/>
                <w:szCs w:val="20"/>
              </w:rPr>
            </w:pPr>
            <w:r w:rsidRPr="009B5509">
              <w:rPr>
                <w:rFonts w:ascii="Calibri" w:hAnsi="Calibri" w:cs="Calibri"/>
                <w:sz w:val="20"/>
                <w:szCs w:val="20"/>
              </w:rPr>
              <w:t>Adults 18-64 with SMI</w:t>
            </w:r>
          </w:p>
        </w:tc>
        <w:tc>
          <w:tcPr>
            <w:tcW w:w="2430" w:type="dxa"/>
          </w:tcPr>
          <w:p w14:paraId="7759DD38" w14:textId="50C0ED1B"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 xml:space="preserve"> 54,342 </w:t>
            </w:r>
          </w:p>
        </w:tc>
      </w:tr>
      <w:tr w:rsidR="0068340B" w:rsidRPr="009B5509" w14:paraId="559D1E7D" w14:textId="77777777" w:rsidTr="00A61A4B">
        <w:trPr>
          <w:jc w:val="center"/>
        </w:trPr>
        <w:tc>
          <w:tcPr>
            <w:tcW w:w="4680" w:type="dxa"/>
          </w:tcPr>
          <w:p w14:paraId="10FAB43A" w14:textId="77777777" w:rsidR="0068340B" w:rsidRPr="009B5509" w:rsidRDefault="0068340B" w:rsidP="0068340B">
            <w:pPr>
              <w:rPr>
                <w:rFonts w:ascii="Calibri" w:hAnsi="Calibri" w:cs="Calibri"/>
                <w:sz w:val="20"/>
                <w:szCs w:val="20"/>
              </w:rPr>
            </w:pPr>
            <w:r w:rsidRPr="009B5509">
              <w:rPr>
                <w:rFonts w:ascii="Calibri" w:hAnsi="Calibri" w:cs="Calibri"/>
                <w:sz w:val="20"/>
                <w:szCs w:val="20"/>
              </w:rPr>
              <w:t>Adults 65+ with SMI</w:t>
            </w:r>
          </w:p>
        </w:tc>
        <w:tc>
          <w:tcPr>
            <w:tcW w:w="2430" w:type="dxa"/>
          </w:tcPr>
          <w:p w14:paraId="7CE0C2C6" w14:textId="1CF629C1"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 xml:space="preserve"> 6,392 </w:t>
            </w:r>
          </w:p>
        </w:tc>
      </w:tr>
      <w:tr w:rsidR="003F400A" w:rsidRPr="009B5509" w14:paraId="6BEDFF78" w14:textId="77777777" w:rsidTr="00A61A4B">
        <w:trPr>
          <w:jc w:val="center"/>
        </w:trPr>
        <w:tc>
          <w:tcPr>
            <w:tcW w:w="4680" w:type="dxa"/>
          </w:tcPr>
          <w:p w14:paraId="07A7854B" w14:textId="77777777" w:rsidR="003F400A" w:rsidRPr="009B5509" w:rsidRDefault="003F400A" w:rsidP="00F46923">
            <w:pPr>
              <w:rPr>
                <w:rFonts w:ascii="Calibri" w:hAnsi="Calibri" w:cs="Calibri"/>
                <w:sz w:val="20"/>
                <w:szCs w:val="20"/>
              </w:rPr>
            </w:pPr>
            <w:r w:rsidRPr="009B5509">
              <w:rPr>
                <w:rFonts w:ascii="Calibri" w:hAnsi="Calibri" w:cs="Calibri"/>
                <w:sz w:val="20"/>
                <w:szCs w:val="20"/>
              </w:rPr>
              <w:t xml:space="preserve">Children with or At-Risk of SED </w:t>
            </w:r>
          </w:p>
        </w:tc>
        <w:tc>
          <w:tcPr>
            <w:tcW w:w="2430" w:type="dxa"/>
          </w:tcPr>
          <w:p w14:paraId="40B14698" w14:textId="7D0988CF" w:rsidR="003F400A" w:rsidRPr="009B5509" w:rsidRDefault="0068340B" w:rsidP="00F46923">
            <w:pPr>
              <w:jc w:val="center"/>
              <w:rPr>
                <w:rFonts w:asciiTheme="minorHAnsi" w:hAnsiTheme="minorHAnsi" w:cstheme="minorHAnsi"/>
                <w:sz w:val="20"/>
                <w:szCs w:val="20"/>
              </w:rPr>
            </w:pPr>
            <w:r w:rsidRPr="009B5509">
              <w:rPr>
                <w:rFonts w:asciiTheme="minorHAnsi" w:hAnsiTheme="minorHAnsi" w:cstheme="minorHAnsi"/>
                <w:sz w:val="20"/>
                <w:szCs w:val="20"/>
              </w:rPr>
              <w:t>25,004</w:t>
            </w:r>
          </w:p>
        </w:tc>
      </w:tr>
    </w:tbl>
    <w:p w14:paraId="246E9F06" w14:textId="3CE752C7" w:rsidR="003F400A" w:rsidRPr="009B5509" w:rsidRDefault="00554A5A" w:rsidP="00F46923">
      <w:pPr>
        <w:spacing w:before="200"/>
      </w:pPr>
      <w:r w:rsidRPr="009B5509">
        <w:rPr>
          <w:sz w:val="10"/>
          <w:szCs w:val="10"/>
        </w:rPr>
        <w:br/>
      </w:r>
      <w:r w:rsidR="003F400A" w:rsidRPr="009B5509">
        <w:t xml:space="preserve">Figure </w:t>
      </w:r>
      <w:r w:rsidR="007E5D0B" w:rsidRPr="009B5509">
        <w:t>7</w:t>
      </w:r>
      <w:r w:rsidR="003F400A" w:rsidRPr="009B5509">
        <w:t xml:space="preserve"> contains data about individuals with autism spectrum disorder (ASD) served by CSBs.</w:t>
      </w:r>
    </w:p>
    <w:p w14:paraId="42D7698B" w14:textId="77777777" w:rsidR="003F400A" w:rsidRPr="009B5509" w:rsidRDefault="003F400A" w:rsidP="00F46923">
      <w:pPr>
        <w:rPr>
          <w:sz w:val="12"/>
          <w:szCs w:val="12"/>
        </w:rPr>
      </w:pPr>
    </w:p>
    <w:tbl>
      <w:tblPr>
        <w:tblW w:w="709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9" w:type="dxa"/>
          <w:right w:w="29" w:type="dxa"/>
        </w:tblCellMar>
        <w:tblLook w:val="04A0" w:firstRow="1" w:lastRow="0" w:firstColumn="1" w:lastColumn="0" w:noHBand="0" w:noVBand="1"/>
      </w:tblPr>
      <w:tblGrid>
        <w:gridCol w:w="2323"/>
        <w:gridCol w:w="1620"/>
        <w:gridCol w:w="1620"/>
        <w:gridCol w:w="1530"/>
      </w:tblGrid>
      <w:tr w:rsidR="003F400A" w:rsidRPr="009B5509" w14:paraId="50FB79F9" w14:textId="77777777" w:rsidTr="00A61A4B">
        <w:trPr>
          <w:jc w:val="center"/>
        </w:trPr>
        <w:tc>
          <w:tcPr>
            <w:tcW w:w="7093" w:type="dxa"/>
            <w:gridSpan w:val="4"/>
            <w:vAlign w:val="center"/>
          </w:tcPr>
          <w:p w14:paraId="5CF8D475" w14:textId="151BA874" w:rsidR="003F400A" w:rsidRPr="009B5509" w:rsidRDefault="003F400A" w:rsidP="00F46923">
            <w:pPr>
              <w:jc w:val="center"/>
              <w:rPr>
                <w:rFonts w:ascii="Calibri" w:hAnsi="Calibri" w:cs="Calibri"/>
                <w:color w:val="365F91" w:themeColor="accent1" w:themeShade="BF"/>
                <w:sz w:val="20"/>
                <w:szCs w:val="20"/>
              </w:rPr>
            </w:pPr>
            <w:r w:rsidRPr="009B5509">
              <w:rPr>
                <w:rFonts w:ascii="Calibri" w:hAnsi="Calibri" w:cs="Calibri"/>
                <w:b/>
                <w:color w:val="365F91" w:themeColor="accent1" w:themeShade="BF"/>
                <w:sz w:val="20"/>
                <w:szCs w:val="20"/>
              </w:rPr>
              <w:t xml:space="preserve">Figure </w:t>
            </w:r>
            <w:r w:rsidR="007E5D0B" w:rsidRPr="009B5509">
              <w:rPr>
                <w:rFonts w:ascii="Calibri" w:hAnsi="Calibri" w:cs="Calibri"/>
                <w:b/>
                <w:color w:val="365F91" w:themeColor="accent1" w:themeShade="BF"/>
                <w:sz w:val="20"/>
                <w:szCs w:val="20"/>
              </w:rPr>
              <w:t>7</w:t>
            </w:r>
            <w:r w:rsidRPr="009B5509">
              <w:rPr>
                <w:rFonts w:ascii="Calibri" w:hAnsi="Calibri" w:cs="Calibri"/>
                <w:b/>
                <w:color w:val="365F91" w:themeColor="accent1" w:themeShade="BF"/>
                <w:sz w:val="20"/>
                <w:szCs w:val="20"/>
              </w:rPr>
              <w:t xml:space="preserve">:  Individuals </w:t>
            </w:r>
            <w:r w:rsidR="0068340B" w:rsidRPr="009B5509">
              <w:rPr>
                <w:rFonts w:ascii="Calibri" w:hAnsi="Calibri" w:cs="Calibri"/>
                <w:b/>
                <w:color w:val="365F91" w:themeColor="accent1" w:themeShade="BF"/>
                <w:sz w:val="20"/>
                <w:szCs w:val="20"/>
              </w:rPr>
              <w:t>with</w:t>
            </w:r>
            <w:r w:rsidRPr="009B5509">
              <w:rPr>
                <w:rFonts w:ascii="Calibri" w:hAnsi="Calibri" w:cs="Calibri"/>
                <w:b/>
                <w:color w:val="365F91" w:themeColor="accent1" w:themeShade="BF"/>
                <w:sz w:val="20"/>
                <w:szCs w:val="20"/>
              </w:rPr>
              <w:t xml:space="preserve"> ASD Who Received CSB Services in FY 202</w:t>
            </w:r>
            <w:r w:rsidR="004023E5" w:rsidRPr="009B5509">
              <w:rPr>
                <w:rFonts w:ascii="Calibri" w:hAnsi="Calibri" w:cs="Calibri"/>
                <w:b/>
                <w:color w:val="365F91" w:themeColor="accent1" w:themeShade="BF"/>
                <w:sz w:val="20"/>
                <w:szCs w:val="20"/>
              </w:rPr>
              <w:t>2</w:t>
            </w:r>
          </w:p>
        </w:tc>
      </w:tr>
      <w:tr w:rsidR="003F400A" w:rsidRPr="009B5509" w14:paraId="75C08DB3" w14:textId="77777777" w:rsidTr="00A61A4B">
        <w:trPr>
          <w:jc w:val="center"/>
        </w:trPr>
        <w:tc>
          <w:tcPr>
            <w:tcW w:w="2323" w:type="dxa"/>
            <w:vAlign w:val="center"/>
          </w:tcPr>
          <w:p w14:paraId="5A832DC2" w14:textId="77777777" w:rsidR="003F400A" w:rsidRPr="009B5509" w:rsidRDefault="003F400A" w:rsidP="00F46923">
            <w:pPr>
              <w:jc w:val="right"/>
              <w:rPr>
                <w:rFonts w:ascii="Calibri" w:hAnsi="Calibri" w:cs="Calibri"/>
                <w:sz w:val="20"/>
                <w:szCs w:val="20"/>
              </w:rPr>
            </w:pPr>
            <w:r w:rsidRPr="009B5509">
              <w:rPr>
                <w:rFonts w:ascii="Calibri" w:hAnsi="Calibri" w:cs="Calibri"/>
                <w:sz w:val="20"/>
                <w:szCs w:val="20"/>
              </w:rPr>
              <w:t>Program Area</w:t>
            </w:r>
          </w:p>
        </w:tc>
        <w:tc>
          <w:tcPr>
            <w:tcW w:w="1620" w:type="dxa"/>
            <w:vAlign w:val="center"/>
          </w:tcPr>
          <w:p w14:paraId="757F3F52" w14:textId="77777777" w:rsidR="003F400A" w:rsidRPr="009B5509" w:rsidRDefault="003F400A" w:rsidP="00F46923">
            <w:pPr>
              <w:jc w:val="center"/>
              <w:rPr>
                <w:rFonts w:ascii="Calibri" w:hAnsi="Calibri" w:cs="Calibri"/>
                <w:sz w:val="20"/>
                <w:szCs w:val="20"/>
              </w:rPr>
            </w:pPr>
            <w:r w:rsidRPr="009B5509">
              <w:rPr>
                <w:rFonts w:ascii="Calibri" w:hAnsi="Calibri" w:cs="Calibri"/>
                <w:sz w:val="20"/>
                <w:szCs w:val="20"/>
              </w:rPr>
              <w:t>All Services</w:t>
            </w:r>
          </w:p>
        </w:tc>
        <w:tc>
          <w:tcPr>
            <w:tcW w:w="1620" w:type="dxa"/>
            <w:vAlign w:val="center"/>
          </w:tcPr>
          <w:p w14:paraId="2DAD1072" w14:textId="77777777" w:rsidR="003F400A" w:rsidRPr="009B5509" w:rsidRDefault="003F400A" w:rsidP="00F46923">
            <w:pPr>
              <w:jc w:val="center"/>
              <w:rPr>
                <w:rFonts w:ascii="Calibri" w:hAnsi="Calibri" w:cs="Calibri"/>
                <w:sz w:val="20"/>
                <w:szCs w:val="20"/>
              </w:rPr>
            </w:pPr>
            <w:r w:rsidRPr="009B5509">
              <w:rPr>
                <w:rFonts w:ascii="Calibri" w:hAnsi="Calibri" w:cs="Calibri"/>
                <w:sz w:val="20"/>
                <w:szCs w:val="20"/>
              </w:rPr>
              <w:t>MH Services</w:t>
            </w:r>
          </w:p>
        </w:tc>
        <w:tc>
          <w:tcPr>
            <w:tcW w:w="1530" w:type="dxa"/>
            <w:vAlign w:val="center"/>
          </w:tcPr>
          <w:p w14:paraId="635CAF5E" w14:textId="77777777" w:rsidR="003F400A" w:rsidRPr="009B5509" w:rsidRDefault="003F400A" w:rsidP="00F46923">
            <w:pPr>
              <w:jc w:val="center"/>
              <w:rPr>
                <w:rFonts w:ascii="Calibri" w:hAnsi="Calibri" w:cs="Calibri"/>
                <w:sz w:val="20"/>
                <w:szCs w:val="20"/>
              </w:rPr>
            </w:pPr>
            <w:r w:rsidRPr="009B5509">
              <w:rPr>
                <w:rFonts w:ascii="Calibri" w:hAnsi="Calibri" w:cs="Calibri"/>
                <w:sz w:val="20"/>
                <w:szCs w:val="20"/>
              </w:rPr>
              <w:t>DV Services</w:t>
            </w:r>
          </w:p>
        </w:tc>
      </w:tr>
      <w:tr w:rsidR="003F400A" w:rsidRPr="00381DAD" w14:paraId="686F1EF1" w14:textId="77777777" w:rsidTr="00A61A4B">
        <w:trPr>
          <w:jc w:val="center"/>
        </w:trPr>
        <w:tc>
          <w:tcPr>
            <w:tcW w:w="2323" w:type="dxa"/>
            <w:vAlign w:val="center"/>
          </w:tcPr>
          <w:p w14:paraId="77090316" w14:textId="77777777" w:rsidR="003F400A" w:rsidRPr="009B5509" w:rsidRDefault="003F400A" w:rsidP="00F46923">
            <w:pPr>
              <w:jc w:val="right"/>
              <w:rPr>
                <w:rFonts w:ascii="Calibri" w:hAnsi="Calibri" w:cs="Calibri"/>
                <w:sz w:val="20"/>
                <w:szCs w:val="20"/>
              </w:rPr>
            </w:pPr>
            <w:r w:rsidRPr="009B5509">
              <w:rPr>
                <w:rFonts w:ascii="Calibri" w:hAnsi="Calibri" w:cs="Calibri"/>
                <w:sz w:val="20"/>
                <w:szCs w:val="20"/>
              </w:rPr>
              <w:t>Individuals With ASD</w:t>
            </w:r>
          </w:p>
        </w:tc>
        <w:tc>
          <w:tcPr>
            <w:tcW w:w="1620" w:type="dxa"/>
            <w:vAlign w:val="center"/>
          </w:tcPr>
          <w:p w14:paraId="2FC854F6" w14:textId="41A19950" w:rsidR="003F400A" w:rsidRPr="009B5509" w:rsidRDefault="00461F20" w:rsidP="00F46923">
            <w:pPr>
              <w:jc w:val="center"/>
              <w:rPr>
                <w:rFonts w:ascii="Calibri" w:hAnsi="Calibri" w:cs="Calibri"/>
                <w:sz w:val="20"/>
                <w:szCs w:val="20"/>
              </w:rPr>
            </w:pPr>
            <w:r w:rsidRPr="009B5509">
              <w:rPr>
                <w:rFonts w:ascii="Calibri" w:hAnsi="Calibri" w:cs="Calibri"/>
                <w:sz w:val="20"/>
                <w:szCs w:val="20"/>
              </w:rPr>
              <w:t>16,046</w:t>
            </w:r>
          </w:p>
        </w:tc>
        <w:tc>
          <w:tcPr>
            <w:tcW w:w="1620" w:type="dxa"/>
            <w:vAlign w:val="center"/>
          </w:tcPr>
          <w:p w14:paraId="33701F7C" w14:textId="07D63A17" w:rsidR="003F400A" w:rsidRPr="009B5509" w:rsidRDefault="00461F20" w:rsidP="00F46923">
            <w:pPr>
              <w:jc w:val="center"/>
              <w:rPr>
                <w:rFonts w:ascii="Calibri" w:hAnsi="Calibri" w:cs="Calibri"/>
                <w:sz w:val="20"/>
                <w:szCs w:val="20"/>
              </w:rPr>
            </w:pPr>
            <w:r w:rsidRPr="009B5509">
              <w:rPr>
                <w:rFonts w:ascii="Calibri" w:hAnsi="Calibri" w:cs="Calibri"/>
                <w:sz w:val="20"/>
                <w:szCs w:val="20"/>
              </w:rPr>
              <w:t>7,215</w:t>
            </w:r>
          </w:p>
        </w:tc>
        <w:tc>
          <w:tcPr>
            <w:tcW w:w="1530" w:type="dxa"/>
            <w:vAlign w:val="center"/>
          </w:tcPr>
          <w:p w14:paraId="6F74A1C6" w14:textId="6608433F" w:rsidR="003F400A" w:rsidRPr="009B5509" w:rsidRDefault="00461F20" w:rsidP="00F46923">
            <w:pPr>
              <w:jc w:val="center"/>
              <w:rPr>
                <w:rFonts w:ascii="Calibri" w:hAnsi="Calibri" w:cs="Calibri"/>
                <w:sz w:val="20"/>
                <w:szCs w:val="20"/>
              </w:rPr>
            </w:pPr>
            <w:r w:rsidRPr="009B5509">
              <w:rPr>
                <w:rFonts w:ascii="Calibri" w:hAnsi="Calibri" w:cs="Calibri"/>
                <w:sz w:val="20"/>
                <w:szCs w:val="20"/>
              </w:rPr>
              <w:t>7,164</w:t>
            </w:r>
          </w:p>
        </w:tc>
      </w:tr>
    </w:tbl>
    <w:p w14:paraId="58C3DA22" w14:textId="77777777" w:rsidR="00554A5A" w:rsidRDefault="00554A5A" w:rsidP="00F46923">
      <w:pPr>
        <w:rPr>
          <w:b/>
          <w:color w:val="FF0000"/>
          <w:sz w:val="2"/>
          <w:szCs w:val="2"/>
        </w:rPr>
      </w:pPr>
    </w:p>
    <w:p w14:paraId="49B7AECB" w14:textId="77777777" w:rsidR="00554A5A" w:rsidRDefault="00554A5A" w:rsidP="00F46923">
      <w:pPr>
        <w:rPr>
          <w:b/>
          <w:color w:val="FF0000"/>
          <w:sz w:val="2"/>
          <w:szCs w:val="2"/>
        </w:rPr>
      </w:pPr>
    </w:p>
    <w:p w14:paraId="52360DD4" w14:textId="77777777" w:rsidR="00554A5A" w:rsidRDefault="00554A5A" w:rsidP="00F46923">
      <w:pPr>
        <w:rPr>
          <w:b/>
          <w:color w:val="FF0000"/>
          <w:sz w:val="2"/>
          <w:szCs w:val="2"/>
        </w:rPr>
      </w:pPr>
    </w:p>
    <w:p w14:paraId="7790C82F" w14:textId="77777777" w:rsidR="00554A5A" w:rsidRDefault="00554A5A" w:rsidP="00F46923">
      <w:pPr>
        <w:rPr>
          <w:b/>
          <w:color w:val="FF0000"/>
          <w:sz w:val="2"/>
          <w:szCs w:val="2"/>
        </w:rPr>
      </w:pPr>
    </w:p>
    <w:p w14:paraId="4B82518A" w14:textId="77777777" w:rsidR="00554A5A" w:rsidRDefault="00554A5A" w:rsidP="00F46923">
      <w:pPr>
        <w:rPr>
          <w:b/>
          <w:color w:val="FF0000"/>
          <w:sz w:val="2"/>
          <w:szCs w:val="2"/>
        </w:rPr>
      </w:pPr>
    </w:p>
    <w:p w14:paraId="0E4979C3" w14:textId="77777777" w:rsidR="00554A5A" w:rsidRDefault="00554A5A" w:rsidP="00F46923">
      <w:pPr>
        <w:rPr>
          <w:b/>
          <w:color w:val="FF0000"/>
          <w:sz w:val="2"/>
          <w:szCs w:val="2"/>
        </w:rPr>
      </w:pPr>
    </w:p>
    <w:p w14:paraId="05B71D97" w14:textId="77777777" w:rsidR="00554A5A" w:rsidRDefault="00554A5A" w:rsidP="00F46923">
      <w:pPr>
        <w:rPr>
          <w:b/>
          <w:color w:val="FF0000"/>
          <w:sz w:val="2"/>
          <w:szCs w:val="2"/>
        </w:rPr>
      </w:pPr>
    </w:p>
    <w:p w14:paraId="7F0D0AD5" w14:textId="77777777" w:rsidR="00554A5A" w:rsidRDefault="00554A5A" w:rsidP="00F46923">
      <w:pPr>
        <w:rPr>
          <w:b/>
          <w:color w:val="FF0000"/>
          <w:sz w:val="2"/>
          <w:szCs w:val="2"/>
        </w:rPr>
      </w:pPr>
    </w:p>
    <w:p w14:paraId="5710605F" w14:textId="77777777" w:rsidR="00554A5A" w:rsidRDefault="00554A5A" w:rsidP="00F46923">
      <w:pPr>
        <w:rPr>
          <w:b/>
          <w:color w:val="FF0000"/>
          <w:sz w:val="2"/>
          <w:szCs w:val="2"/>
        </w:rPr>
      </w:pPr>
    </w:p>
    <w:p w14:paraId="14C920E3" w14:textId="77777777" w:rsidR="00554A5A" w:rsidRDefault="00554A5A" w:rsidP="00F46923">
      <w:pPr>
        <w:rPr>
          <w:b/>
          <w:color w:val="FF0000"/>
          <w:sz w:val="2"/>
          <w:szCs w:val="2"/>
        </w:rPr>
      </w:pPr>
    </w:p>
    <w:p w14:paraId="6A4C01D3" w14:textId="77777777" w:rsidR="00554A5A" w:rsidRDefault="00554A5A" w:rsidP="00F46923">
      <w:pPr>
        <w:rPr>
          <w:b/>
          <w:color w:val="FF0000"/>
          <w:sz w:val="2"/>
          <w:szCs w:val="2"/>
        </w:rPr>
      </w:pPr>
    </w:p>
    <w:p w14:paraId="42DCAB41" w14:textId="77777777" w:rsidR="00554A5A" w:rsidRDefault="00554A5A" w:rsidP="00F46923">
      <w:pPr>
        <w:rPr>
          <w:b/>
          <w:color w:val="FF0000"/>
          <w:sz w:val="2"/>
          <w:szCs w:val="2"/>
        </w:rPr>
      </w:pPr>
    </w:p>
    <w:p w14:paraId="2ED45416" w14:textId="77777777" w:rsidR="00554A5A" w:rsidRDefault="00554A5A" w:rsidP="00F46923">
      <w:pPr>
        <w:rPr>
          <w:b/>
          <w:color w:val="FF0000"/>
          <w:sz w:val="2"/>
          <w:szCs w:val="2"/>
        </w:rPr>
      </w:pPr>
    </w:p>
    <w:p w14:paraId="42F49721" w14:textId="77777777" w:rsidR="00554A5A" w:rsidRDefault="00554A5A" w:rsidP="00F46923">
      <w:pPr>
        <w:rPr>
          <w:b/>
          <w:color w:val="FF0000"/>
          <w:sz w:val="2"/>
          <w:szCs w:val="2"/>
        </w:rPr>
      </w:pPr>
    </w:p>
    <w:p w14:paraId="2FEFE637" w14:textId="77777777" w:rsidR="00554A5A" w:rsidRDefault="00554A5A" w:rsidP="00F46923">
      <w:pPr>
        <w:rPr>
          <w:b/>
          <w:color w:val="FF0000"/>
          <w:sz w:val="2"/>
          <w:szCs w:val="2"/>
        </w:rPr>
      </w:pPr>
    </w:p>
    <w:p w14:paraId="0F6C103A" w14:textId="77777777" w:rsidR="00554A5A" w:rsidRDefault="00554A5A" w:rsidP="00F46923">
      <w:pPr>
        <w:rPr>
          <w:b/>
          <w:color w:val="FF0000"/>
          <w:sz w:val="2"/>
          <w:szCs w:val="2"/>
        </w:rPr>
      </w:pPr>
    </w:p>
    <w:p w14:paraId="2B729150" w14:textId="6946AC88" w:rsidR="003F400A" w:rsidRPr="009E4F66" w:rsidRDefault="003F400A" w:rsidP="00F46923">
      <w:r w:rsidRPr="009E4F66">
        <w:t xml:space="preserve">Figure </w:t>
      </w:r>
      <w:r w:rsidR="007E5D0B">
        <w:t>8</w:t>
      </w:r>
      <w:r w:rsidRPr="009E4F66">
        <w:t xml:space="preserve"> contains employment data about adults (18+ years old) who received CSB services.</w:t>
      </w:r>
    </w:p>
    <w:p w14:paraId="653D6794" w14:textId="77777777" w:rsidR="003F400A" w:rsidRPr="009E4F66" w:rsidRDefault="003F400A" w:rsidP="00F46923">
      <w:pPr>
        <w:rPr>
          <w:sz w:val="12"/>
          <w:szCs w:val="12"/>
        </w:rPr>
      </w:pPr>
    </w:p>
    <w:tbl>
      <w:tblPr>
        <w:tblW w:w="936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 w:type="dxa"/>
          <w:right w:w="14" w:type="dxa"/>
        </w:tblCellMar>
        <w:tblLook w:val="00A0" w:firstRow="1" w:lastRow="0" w:firstColumn="1" w:lastColumn="0" w:noHBand="0" w:noVBand="0"/>
      </w:tblPr>
      <w:tblGrid>
        <w:gridCol w:w="3690"/>
        <w:gridCol w:w="900"/>
        <w:gridCol w:w="856"/>
        <w:gridCol w:w="856"/>
        <w:gridCol w:w="1169"/>
        <w:gridCol w:w="989"/>
        <w:gridCol w:w="900"/>
      </w:tblGrid>
      <w:tr w:rsidR="003F400A" w:rsidRPr="00381DAD" w14:paraId="55E34D93" w14:textId="77777777" w:rsidTr="00A61A4B">
        <w:trPr>
          <w:jc w:val="center"/>
        </w:trPr>
        <w:tc>
          <w:tcPr>
            <w:tcW w:w="9360" w:type="dxa"/>
            <w:gridSpan w:val="7"/>
            <w:vAlign w:val="center"/>
          </w:tcPr>
          <w:p w14:paraId="7FBB7779" w14:textId="072B16E8" w:rsidR="003F400A" w:rsidRPr="00F047E1" w:rsidRDefault="003F400A" w:rsidP="00F46923">
            <w:pPr>
              <w:jc w:val="center"/>
              <w:rPr>
                <w:rFonts w:ascii="Calibri" w:hAnsi="Calibri" w:cs="Calibri"/>
                <w:sz w:val="20"/>
                <w:szCs w:val="20"/>
              </w:rPr>
            </w:pPr>
            <w:r w:rsidRPr="009B5509">
              <w:rPr>
                <w:rFonts w:ascii="Calibri" w:hAnsi="Calibri" w:cs="Calibri"/>
                <w:b/>
                <w:color w:val="365F91" w:themeColor="accent1" w:themeShade="BF"/>
                <w:sz w:val="20"/>
                <w:szCs w:val="20"/>
              </w:rPr>
              <w:t xml:space="preserve">Figure </w:t>
            </w:r>
            <w:r w:rsidR="007E5D0B" w:rsidRPr="009B5509">
              <w:rPr>
                <w:rFonts w:ascii="Calibri" w:hAnsi="Calibri" w:cs="Calibri"/>
                <w:b/>
                <w:color w:val="365F91" w:themeColor="accent1" w:themeShade="BF"/>
                <w:sz w:val="20"/>
                <w:szCs w:val="20"/>
              </w:rPr>
              <w:t>8</w:t>
            </w:r>
            <w:r w:rsidRPr="009B5509">
              <w:rPr>
                <w:rFonts w:ascii="Calibri" w:hAnsi="Calibri" w:cs="Calibri"/>
                <w:b/>
                <w:color w:val="365F91" w:themeColor="accent1" w:themeShade="BF"/>
                <w:sz w:val="20"/>
                <w:szCs w:val="20"/>
              </w:rPr>
              <w:t>:</w:t>
            </w:r>
            <w:r w:rsidRPr="00F047E1">
              <w:rPr>
                <w:rFonts w:ascii="Calibri" w:hAnsi="Calibri" w:cs="Calibri"/>
                <w:b/>
                <w:color w:val="365F91" w:themeColor="accent1" w:themeShade="BF"/>
                <w:sz w:val="20"/>
                <w:szCs w:val="20"/>
              </w:rPr>
              <w:t xml:space="preserve">  Employment Status for Adults Who Received CSB Services in FY 202</w:t>
            </w:r>
            <w:r w:rsidR="004023E5">
              <w:rPr>
                <w:rFonts w:ascii="Calibri" w:hAnsi="Calibri" w:cs="Calibri"/>
                <w:b/>
                <w:color w:val="365F91" w:themeColor="accent1" w:themeShade="BF"/>
                <w:sz w:val="20"/>
                <w:szCs w:val="20"/>
              </w:rPr>
              <w:t>2</w:t>
            </w:r>
          </w:p>
        </w:tc>
      </w:tr>
      <w:tr w:rsidR="003F400A" w:rsidRPr="00381DAD" w14:paraId="10BF5414" w14:textId="77777777" w:rsidTr="00A61A4B">
        <w:trPr>
          <w:jc w:val="center"/>
        </w:trPr>
        <w:tc>
          <w:tcPr>
            <w:tcW w:w="3690" w:type="dxa"/>
            <w:vAlign w:val="center"/>
          </w:tcPr>
          <w:p w14:paraId="0C23DA8B" w14:textId="77777777" w:rsidR="003F400A" w:rsidRPr="00F047E1" w:rsidRDefault="003F400A" w:rsidP="00F46923">
            <w:pPr>
              <w:jc w:val="center"/>
              <w:rPr>
                <w:rFonts w:ascii="Calibri" w:hAnsi="Calibri" w:cs="Calibri"/>
                <w:sz w:val="20"/>
                <w:szCs w:val="20"/>
              </w:rPr>
            </w:pPr>
            <w:r w:rsidRPr="00F047E1">
              <w:rPr>
                <w:rFonts w:ascii="Calibri" w:hAnsi="Calibri" w:cs="Calibri"/>
                <w:sz w:val="20"/>
                <w:szCs w:val="20"/>
              </w:rPr>
              <w:t>Employment Status</w:t>
            </w:r>
          </w:p>
        </w:tc>
        <w:tc>
          <w:tcPr>
            <w:tcW w:w="900" w:type="dxa"/>
            <w:vAlign w:val="center"/>
          </w:tcPr>
          <w:p w14:paraId="5683CDAD" w14:textId="77777777" w:rsidR="003F400A" w:rsidRPr="00F047E1" w:rsidRDefault="003F400A" w:rsidP="00F46923">
            <w:pPr>
              <w:jc w:val="center"/>
              <w:rPr>
                <w:rFonts w:ascii="Calibri" w:hAnsi="Calibri" w:cs="Calibri"/>
                <w:sz w:val="20"/>
                <w:szCs w:val="20"/>
              </w:rPr>
            </w:pPr>
            <w:r w:rsidRPr="00F047E1">
              <w:rPr>
                <w:rFonts w:ascii="Calibri" w:hAnsi="Calibri" w:cs="Calibri"/>
                <w:sz w:val="20"/>
                <w:szCs w:val="20"/>
              </w:rPr>
              <w:t>MH</w:t>
            </w:r>
          </w:p>
        </w:tc>
        <w:tc>
          <w:tcPr>
            <w:tcW w:w="856" w:type="dxa"/>
            <w:vAlign w:val="center"/>
          </w:tcPr>
          <w:p w14:paraId="1976551E" w14:textId="00D85D18" w:rsidR="003F400A" w:rsidRPr="00F047E1" w:rsidRDefault="00A848C5" w:rsidP="00F46923">
            <w:pPr>
              <w:jc w:val="center"/>
              <w:rPr>
                <w:rFonts w:ascii="Calibri" w:hAnsi="Calibri" w:cs="Calibri"/>
                <w:sz w:val="20"/>
                <w:szCs w:val="20"/>
              </w:rPr>
            </w:pPr>
            <w:r>
              <w:rPr>
                <w:rFonts w:ascii="Calibri" w:hAnsi="Calibri" w:cs="Calibri"/>
                <w:sz w:val="20"/>
                <w:szCs w:val="20"/>
              </w:rPr>
              <w:t>DD</w:t>
            </w:r>
          </w:p>
        </w:tc>
        <w:tc>
          <w:tcPr>
            <w:tcW w:w="856" w:type="dxa"/>
            <w:vAlign w:val="center"/>
          </w:tcPr>
          <w:p w14:paraId="6BAC2F9F" w14:textId="77777777" w:rsidR="003F400A" w:rsidRPr="00F047E1" w:rsidRDefault="003F400A" w:rsidP="00F46923">
            <w:pPr>
              <w:jc w:val="center"/>
              <w:rPr>
                <w:rFonts w:ascii="Calibri" w:hAnsi="Calibri" w:cs="Calibri"/>
                <w:sz w:val="20"/>
                <w:szCs w:val="20"/>
              </w:rPr>
            </w:pPr>
            <w:r w:rsidRPr="00F047E1">
              <w:rPr>
                <w:rFonts w:ascii="Calibri" w:hAnsi="Calibri" w:cs="Calibri"/>
                <w:sz w:val="20"/>
                <w:szCs w:val="20"/>
              </w:rPr>
              <w:t xml:space="preserve">SUD </w:t>
            </w:r>
          </w:p>
        </w:tc>
        <w:tc>
          <w:tcPr>
            <w:tcW w:w="1169" w:type="dxa"/>
            <w:vAlign w:val="center"/>
          </w:tcPr>
          <w:p w14:paraId="47ABCACA" w14:textId="77777777" w:rsidR="003F400A" w:rsidRPr="00F047E1" w:rsidRDefault="003F400A" w:rsidP="00F46923">
            <w:pPr>
              <w:jc w:val="center"/>
              <w:rPr>
                <w:rFonts w:ascii="Calibri" w:hAnsi="Calibri" w:cs="Calibri"/>
                <w:sz w:val="20"/>
                <w:szCs w:val="20"/>
              </w:rPr>
            </w:pPr>
            <w:r w:rsidRPr="00F047E1">
              <w:rPr>
                <w:rFonts w:ascii="Calibri" w:hAnsi="Calibri" w:cs="Calibri"/>
                <w:sz w:val="20"/>
                <w:szCs w:val="20"/>
              </w:rPr>
              <w:t>Emergency</w:t>
            </w:r>
          </w:p>
        </w:tc>
        <w:tc>
          <w:tcPr>
            <w:tcW w:w="989" w:type="dxa"/>
            <w:vAlign w:val="center"/>
          </w:tcPr>
          <w:p w14:paraId="248F941B" w14:textId="77777777" w:rsidR="003F400A" w:rsidRPr="00F047E1" w:rsidRDefault="003F400A" w:rsidP="00F46923">
            <w:pPr>
              <w:jc w:val="center"/>
              <w:rPr>
                <w:rFonts w:ascii="Calibri" w:hAnsi="Calibri" w:cs="Calibri"/>
                <w:sz w:val="20"/>
                <w:szCs w:val="20"/>
              </w:rPr>
            </w:pPr>
            <w:r w:rsidRPr="00F047E1">
              <w:rPr>
                <w:rFonts w:ascii="Calibri" w:hAnsi="Calibri" w:cs="Calibri"/>
                <w:sz w:val="20"/>
                <w:szCs w:val="20"/>
              </w:rPr>
              <w:t>Ancillary</w:t>
            </w:r>
          </w:p>
        </w:tc>
        <w:tc>
          <w:tcPr>
            <w:tcW w:w="900" w:type="dxa"/>
            <w:vAlign w:val="center"/>
          </w:tcPr>
          <w:p w14:paraId="333198CA" w14:textId="77777777" w:rsidR="003F400A" w:rsidRPr="00F047E1" w:rsidRDefault="003F400A" w:rsidP="00F46923">
            <w:pPr>
              <w:jc w:val="center"/>
              <w:rPr>
                <w:rFonts w:ascii="Calibri" w:hAnsi="Calibri" w:cs="Calibri"/>
                <w:sz w:val="20"/>
                <w:szCs w:val="20"/>
              </w:rPr>
            </w:pPr>
            <w:r w:rsidRPr="00F047E1">
              <w:rPr>
                <w:rFonts w:ascii="Calibri" w:hAnsi="Calibri" w:cs="Calibri"/>
                <w:sz w:val="20"/>
                <w:szCs w:val="20"/>
              </w:rPr>
              <w:t>Undupl.</w:t>
            </w:r>
            <w:r w:rsidRPr="00F047E1">
              <w:rPr>
                <w:rFonts w:ascii="Calibri" w:hAnsi="Calibri" w:cs="Calibri"/>
                <w:b/>
                <w:sz w:val="20"/>
                <w:szCs w:val="20"/>
                <w:vertAlign w:val="superscript"/>
              </w:rPr>
              <w:t>1</w:t>
            </w:r>
          </w:p>
        </w:tc>
      </w:tr>
      <w:tr w:rsidR="00F75D9A" w:rsidRPr="00381DAD" w14:paraId="228C03C4" w14:textId="77777777" w:rsidTr="00A61A4B">
        <w:trPr>
          <w:jc w:val="center"/>
        </w:trPr>
        <w:tc>
          <w:tcPr>
            <w:tcW w:w="3690" w:type="dxa"/>
            <w:vAlign w:val="center"/>
          </w:tcPr>
          <w:p w14:paraId="17093CD0" w14:textId="77777777" w:rsidR="00F75D9A" w:rsidRPr="00F047E1" w:rsidRDefault="00F75D9A" w:rsidP="00F75D9A">
            <w:pPr>
              <w:rPr>
                <w:rFonts w:ascii="Calibri" w:hAnsi="Calibri" w:cs="Calibri"/>
                <w:bCs/>
                <w:i/>
                <w:color w:val="FF0000"/>
                <w:sz w:val="20"/>
                <w:szCs w:val="20"/>
              </w:rPr>
            </w:pPr>
            <w:r w:rsidRPr="00F047E1">
              <w:rPr>
                <w:rFonts w:ascii="Calibri" w:hAnsi="Calibri" w:cs="Calibri"/>
                <w:bCs/>
                <w:i/>
                <w:sz w:val="20"/>
                <w:szCs w:val="20"/>
              </w:rPr>
              <w:t>Total Adults (18+) Who Received Services</w:t>
            </w:r>
          </w:p>
        </w:tc>
        <w:tc>
          <w:tcPr>
            <w:tcW w:w="900" w:type="dxa"/>
            <w:tcMar>
              <w:left w:w="58" w:type="dxa"/>
              <w:right w:w="58" w:type="dxa"/>
            </w:tcMar>
          </w:tcPr>
          <w:p w14:paraId="586EBE38" w14:textId="7A59E3B4" w:rsidR="00F75D9A" w:rsidRPr="009B5509" w:rsidRDefault="00F75D9A" w:rsidP="00F75D9A">
            <w:pPr>
              <w:jc w:val="center"/>
              <w:rPr>
                <w:rFonts w:asciiTheme="minorHAnsi" w:hAnsiTheme="minorHAnsi" w:cstheme="minorHAnsi"/>
                <w:i/>
                <w:sz w:val="20"/>
                <w:szCs w:val="20"/>
              </w:rPr>
            </w:pPr>
            <w:r w:rsidRPr="009B5509">
              <w:rPr>
                <w:rFonts w:asciiTheme="minorHAnsi" w:hAnsiTheme="minorHAnsi" w:cstheme="minorHAnsi"/>
                <w:sz w:val="20"/>
                <w:szCs w:val="20"/>
              </w:rPr>
              <w:t>91,789</w:t>
            </w:r>
          </w:p>
        </w:tc>
        <w:tc>
          <w:tcPr>
            <w:tcW w:w="856" w:type="dxa"/>
            <w:tcMar>
              <w:left w:w="58" w:type="dxa"/>
              <w:right w:w="58" w:type="dxa"/>
            </w:tcMar>
          </w:tcPr>
          <w:p w14:paraId="2B844F33" w14:textId="6581576A" w:rsidR="00F75D9A" w:rsidRPr="009B5509" w:rsidRDefault="00F75D9A" w:rsidP="00F75D9A">
            <w:pPr>
              <w:jc w:val="center"/>
              <w:rPr>
                <w:rFonts w:asciiTheme="minorHAnsi" w:hAnsiTheme="minorHAnsi" w:cstheme="minorHAnsi"/>
                <w:i/>
                <w:sz w:val="20"/>
                <w:szCs w:val="20"/>
              </w:rPr>
            </w:pPr>
            <w:r w:rsidRPr="009B5509">
              <w:rPr>
                <w:rFonts w:asciiTheme="minorHAnsi" w:hAnsiTheme="minorHAnsi" w:cstheme="minorHAnsi"/>
                <w:sz w:val="20"/>
                <w:szCs w:val="20"/>
              </w:rPr>
              <w:t>20,325</w:t>
            </w:r>
          </w:p>
        </w:tc>
        <w:tc>
          <w:tcPr>
            <w:tcW w:w="856" w:type="dxa"/>
            <w:tcMar>
              <w:left w:w="58" w:type="dxa"/>
              <w:right w:w="58" w:type="dxa"/>
            </w:tcMar>
          </w:tcPr>
          <w:p w14:paraId="0DDF1DBD" w14:textId="2E03746C" w:rsidR="00F75D9A" w:rsidRPr="009B5509" w:rsidRDefault="00F75D9A" w:rsidP="00F75D9A">
            <w:pPr>
              <w:jc w:val="center"/>
              <w:rPr>
                <w:rFonts w:asciiTheme="minorHAnsi" w:hAnsiTheme="minorHAnsi" w:cstheme="minorHAnsi"/>
                <w:i/>
                <w:sz w:val="20"/>
                <w:szCs w:val="20"/>
              </w:rPr>
            </w:pPr>
            <w:r w:rsidRPr="009B5509">
              <w:rPr>
                <w:rFonts w:asciiTheme="minorHAnsi" w:hAnsiTheme="minorHAnsi" w:cstheme="minorHAnsi"/>
                <w:sz w:val="20"/>
                <w:szCs w:val="20"/>
              </w:rPr>
              <w:t>24,369</w:t>
            </w:r>
          </w:p>
        </w:tc>
        <w:tc>
          <w:tcPr>
            <w:tcW w:w="1169" w:type="dxa"/>
          </w:tcPr>
          <w:p w14:paraId="438496B4" w14:textId="559610D3" w:rsidR="00F75D9A" w:rsidRPr="009B5509" w:rsidRDefault="00F75D9A" w:rsidP="00F75D9A">
            <w:pPr>
              <w:jc w:val="center"/>
              <w:rPr>
                <w:rFonts w:asciiTheme="minorHAnsi" w:hAnsiTheme="minorHAnsi" w:cstheme="minorHAnsi"/>
                <w:i/>
                <w:sz w:val="20"/>
                <w:szCs w:val="20"/>
              </w:rPr>
            </w:pPr>
            <w:r w:rsidRPr="009B5509">
              <w:rPr>
                <w:rFonts w:asciiTheme="minorHAnsi" w:hAnsiTheme="minorHAnsi" w:cstheme="minorHAnsi"/>
                <w:sz w:val="20"/>
                <w:szCs w:val="20"/>
              </w:rPr>
              <w:t>4,2857</w:t>
            </w:r>
          </w:p>
        </w:tc>
        <w:tc>
          <w:tcPr>
            <w:tcW w:w="989" w:type="dxa"/>
          </w:tcPr>
          <w:p w14:paraId="50965653" w14:textId="79105454" w:rsidR="00F75D9A" w:rsidRPr="009B5509" w:rsidRDefault="00F75D9A" w:rsidP="00F75D9A">
            <w:pPr>
              <w:jc w:val="center"/>
              <w:rPr>
                <w:rFonts w:asciiTheme="minorHAnsi" w:hAnsiTheme="minorHAnsi" w:cstheme="minorHAnsi"/>
                <w:i/>
                <w:sz w:val="20"/>
                <w:szCs w:val="20"/>
              </w:rPr>
            </w:pPr>
            <w:r w:rsidRPr="009B5509">
              <w:rPr>
                <w:rFonts w:asciiTheme="minorHAnsi" w:hAnsiTheme="minorHAnsi" w:cstheme="minorHAnsi"/>
                <w:sz w:val="20"/>
                <w:szCs w:val="20"/>
              </w:rPr>
              <w:t>68,950</w:t>
            </w:r>
          </w:p>
        </w:tc>
        <w:tc>
          <w:tcPr>
            <w:tcW w:w="900" w:type="dxa"/>
          </w:tcPr>
          <w:p w14:paraId="327A8D50" w14:textId="02800704" w:rsidR="00F75D9A" w:rsidRPr="009B5509" w:rsidRDefault="00F75D9A" w:rsidP="00F75D9A">
            <w:pPr>
              <w:jc w:val="center"/>
              <w:rPr>
                <w:rFonts w:asciiTheme="minorHAnsi" w:hAnsiTheme="minorHAnsi" w:cstheme="minorHAnsi"/>
                <w:i/>
                <w:sz w:val="20"/>
                <w:szCs w:val="20"/>
              </w:rPr>
            </w:pPr>
            <w:r w:rsidRPr="009B5509">
              <w:rPr>
                <w:rFonts w:asciiTheme="minorHAnsi" w:hAnsiTheme="minorHAnsi" w:cstheme="minorHAnsi"/>
                <w:sz w:val="20"/>
                <w:szCs w:val="20"/>
              </w:rPr>
              <w:t>164,125</w:t>
            </w:r>
          </w:p>
        </w:tc>
      </w:tr>
      <w:tr w:rsidR="00F75D9A" w:rsidRPr="00381DAD" w14:paraId="3A185BBB" w14:textId="77777777" w:rsidTr="00A61A4B">
        <w:trPr>
          <w:jc w:val="center"/>
        </w:trPr>
        <w:tc>
          <w:tcPr>
            <w:tcW w:w="3690" w:type="dxa"/>
            <w:vAlign w:val="center"/>
          </w:tcPr>
          <w:p w14:paraId="7079378A" w14:textId="77777777" w:rsidR="00F75D9A" w:rsidRPr="00F047E1" w:rsidRDefault="00F75D9A" w:rsidP="00F75D9A">
            <w:pPr>
              <w:rPr>
                <w:rFonts w:ascii="Calibri" w:hAnsi="Calibri" w:cs="Calibri"/>
                <w:bCs/>
                <w:color w:val="000000"/>
                <w:sz w:val="20"/>
                <w:szCs w:val="20"/>
              </w:rPr>
            </w:pPr>
            <w:r w:rsidRPr="00F047E1">
              <w:rPr>
                <w:rFonts w:ascii="Calibri" w:hAnsi="Calibri" w:cs="Calibri"/>
                <w:bCs/>
                <w:color w:val="000000"/>
                <w:sz w:val="20"/>
                <w:szCs w:val="20"/>
              </w:rPr>
              <w:t>Employed Full Time (35+ hr./wk.)</w:t>
            </w:r>
          </w:p>
        </w:tc>
        <w:tc>
          <w:tcPr>
            <w:tcW w:w="900" w:type="dxa"/>
            <w:tcMar>
              <w:left w:w="58" w:type="dxa"/>
              <w:right w:w="58" w:type="dxa"/>
            </w:tcMar>
          </w:tcPr>
          <w:p w14:paraId="755491F4" w14:textId="2E506D09"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12,914</w:t>
            </w:r>
          </w:p>
        </w:tc>
        <w:tc>
          <w:tcPr>
            <w:tcW w:w="856" w:type="dxa"/>
            <w:tcMar>
              <w:left w:w="58" w:type="dxa"/>
              <w:right w:w="58" w:type="dxa"/>
            </w:tcMar>
          </w:tcPr>
          <w:p w14:paraId="48704257" w14:textId="77B34FD4"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250</w:t>
            </w:r>
          </w:p>
        </w:tc>
        <w:tc>
          <w:tcPr>
            <w:tcW w:w="856" w:type="dxa"/>
            <w:tcMar>
              <w:left w:w="58" w:type="dxa"/>
              <w:right w:w="58" w:type="dxa"/>
            </w:tcMar>
          </w:tcPr>
          <w:p w14:paraId="15ADD175" w14:textId="5E73AF56"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6,481</w:t>
            </w:r>
          </w:p>
        </w:tc>
        <w:tc>
          <w:tcPr>
            <w:tcW w:w="1169" w:type="dxa"/>
          </w:tcPr>
          <w:p w14:paraId="484944C7" w14:textId="379BD4F1"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4,303</w:t>
            </w:r>
          </w:p>
        </w:tc>
        <w:tc>
          <w:tcPr>
            <w:tcW w:w="989" w:type="dxa"/>
          </w:tcPr>
          <w:p w14:paraId="3DE066E0" w14:textId="107A1C49"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11,904</w:t>
            </w:r>
          </w:p>
        </w:tc>
        <w:tc>
          <w:tcPr>
            <w:tcW w:w="900" w:type="dxa"/>
          </w:tcPr>
          <w:p w14:paraId="64D77E62" w14:textId="0499D888"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22,612</w:t>
            </w:r>
          </w:p>
        </w:tc>
      </w:tr>
      <w:tr w:rsidR="00F75D9A" w:rsidRPr="00381DAD" w14:paraId="63284955" w14:textId="77777777" w:rsidTr="00A61A4B">
        <w:trPr>
          <w:jc w:val="center"/>
        </w:trPr>
        <w:tc>
          <w:tcPr>
            <w:tcW w:w="3690" w:type="dxa"/>
            <w:vAlign w:val="center"/>
          </w:tcPr>
          <w:p w14:paraId="5383DE83" w14:textId="77777777" w:rsidR="00F75D9A" w:rsidRPr="00F047E1" w:rsidRDefault="00F75D9A" w:rsidP="00F75D9A">
            <w:pPr>
              <w:rPr>
                <w:rFonts w:ascii="Calibri" w:hAnsi="Calibri" w:cs="Calibri"/>
                <w:bCs/>
                <w:color w:val="000000"/>
                <w:sz w:val="20"/>
                <w:szCs w:val="20"/>
              </w:rPr>
            </w:pPr>
            <w:r w:rsidRPr="00F047E1">
              <w:rPr>
                <w:rFonts w:ascii="Calibri" w:hAnsi="Calibri" w:cs="Calibri"/>
                <w:bCs/>
                <w:color w:val="000000"/>
                <w:sz w:val="20"/>
                <w:szCs w:val="20"/>
              </w:rPr>
              <w:lastRenderedPageBreak/>
              <w:t xml:space="preserve">Employed Part </w:t>
            </w:r>
            <w:proofErr w:type="gramStart"/>
            <w:r w:rsidRPr="00F047E1">
              <w:rPr>
                <w:rFonts w:ascii="Calibri" w:hAnsi="Calibri" w:cs="Calibri"/>
                <w:bCs/>
                <w:color w:val="000000"/>
                <w:sz w:val="20"/>
                <w:szCs w:val="20"/>
              </w:rPr>
              <w:t>Time(</w:t>
            </w:r>
            <w:proofErr w:type="gramEnd"/>
            <w:r w:rsidRPr="00F047E1">
              <w:rPr>
                <w:rFonts w:ascii="Calibri" w:hAnsi="Calibri" w:cs="Calibri"/>
                <w:bCs/>
                <w:color w:val="000000"/>
                <w:sz w:val="20"/>
                <w:szCs w:val="20"/>
              </w:rPr>
              <w:t>&lt;35 hr./wk.)</w:t>
            </w:r>
          </w:p>
        </w:tc>
        <w:tc>
          <w:tcPr>
            <w:tcW w:w="900" w:type="dxa"/>
            <w:tcMar>
              <w:left w:w="58" w:type="dxa"/>
              <w:right w:w="58" w:type="dxa"/>
            </w:tcMar>
          </w:tcPr>
          <w:p w14:paraId="04FC2FAB" w14:textId="71784733"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9,638</w:t>
            </w:r>
          </w:p>
        </w:tc>
        <w:tc>
          <w:tcPr>
            <w:tcW w:w="856" w:type="dxa"/>
            <w:tcMar>
              <w:left w:w="58" w:type="dxa"/>
              <w:right w:w="58" w:type="dxa"/>
            </w:tcMar>
          </w:tcPr>
          <w:p w14:paraId="59BD720F" w14:textId="0E7A88A0"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1509</w:t>
            </w:r>
          </w:p>
        </w:tc>
        <w:tc>
          <w:tcPr>
            <w:tcW w:w="856" w:type="dxa"/>
            <w:tcMar>
              <w:left w:w="58" w:type="dxa"/>
              <w:right w:w="58" w:type="dxa"/>
            </w:tcMar>
          </w:tcPr>
          <w:p w14:paraId="53CD9977" w14:textId="171A5182"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2,645</w:t>
            </w:r>
          </w:p>
        </w:tc>
        <w:tc>
          <w:tcPr>
            <w:tcW w:w="1169" w:type="dxa"/>
          </w:tcPr>
          <w:p w14:paraId="11855947" w14:textId="7044F2C5"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2,708</w:t>
            </w:r>
          </w:p>
        </w:tc>
        <w:tc>
          <w:tcPr>
            <w:tcW w:w="989" w:type="dxa"/>
          </w:tcPr>
          <w:p w14:paraId="43BEB39D" w14:textId="45E8D682"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6,765</w:t>
            </w:r>
          </w:p>
        </w:tc>
        <w:tc>
          <w:tcPr>
            <w:tcW w:w="900" w:type="dxa"/>
          </w:tcPr>
          <w:p w14:paraId="05FD5811" w14:textId="1D14961A"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14,758</w:t>
            </w:r>
          </w:p>
        </w:tc>
      </w:tr>
      <w:tr w:rsidR="00F75D9A" w:rsidRPr="00381DAD" w14:paraId="4449D504" w14:textId="77777777" w:rsidTr="00A61A4B">
        <w:trPr>
          <w:jc w:val="center"/>
        </w:trPr>
        <w:tc>
          <w:tcPr>
            <w:tcW w:w="3690" w:type="dxa"/>
            <w:vAlign w:val="center"/>
          </w:tcPr>
          <w:p w14:paraId="1B9234D2" w14:textId="77777777" w:rsidR="00F75D9A" w:rsidRPr="00F047E1" w:rsidRDefault="00F75D9A" w:rsidP="00F75D9A">
            <w:pPr>
              <w:rPr>
                <w:rFonts w:ascii="Calibri" w:hAnsi="Calibri" w:cs="Calibri"/>
                <w:bCs/>
                <w:color w:val="000000"/>
                <w:sz w:val="20"/>
                <w:szCs w:val="20"/>
              </w:rPr>
            </w:pPr>
            <w:r w:rsidRPr="00F047E1">
              <w:rPr>
                <w:rFonts w:ascii="Calibri" w:hAnsi="Calibri" w:cs="Calibri"/>
                <w:bCs/>
                <w:color w:val="000000"/>
                <w:sz w:val="20"/>
                <w:szCs w:val="20"/>
              </w:rPr>
              <w:t>In Supported Employment</w:t>
            </w:r>
          </w:p>
        </w:tc>
        <w:tc>
          <w:tcPr>
            <w:tcW w:w="900" w:type="dxa"/>
            <w:tcMar>
              <w:left w:w="58" w:type="dxa"/>
              <w:right w:w="58" w:type="dxa"/>
            </w:tcMar>
          </w:tcPr>
          <w:p w14:paraId="53012831" w14:textId="49D9D46E"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433</w:t>
            </w:r>
          </w:p>
        </w:tc>
        <w:tc>
          <w:tcPr>
            <w:tcW w:w="856" w:type="dxa"/>
            <w:tcMar>
              <w:left w:w="58" w:type="dxa"/>
              <w:right w:w="58" w:type="dxa"/>
            </w:tcMar>
          </w:tcPr>
          <w:p w14:paraId="6E6FB9B6" w14:textId="67B5A4D7"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1,165</w:t>
            </w:r>
          </w:p>
        </w:tc>
        <w:tc>
          <w:tcPr>
            <w:tcW w:w="856" w:type="dxa"/>
            <w:tcMar>
              <w:left w:w="58" w:type="dxa"/>
              <w:right w:w="58" w:type="dxa"/>
            </w:tcMar>
          </w:tcPr>
          <w:p w14:paraId="4F347A1F" w14:textId="2B9BD6D1"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42</w:t>
            </w:r>
          </w:p>
        </w:tc>
        <w:tc>
          <w:tcPr>
            <w:tcW w:w="1169" w:type="dxa"/>
          </w:tcPr>
          <w:p w14:paraId="2B3DCC9B" w14:textId="7C38DE26"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92</w:t>
            </w:r>
          </w:p>
        </w:tc>
        <w:tc>
          <w:tcPr>
            <w:tcW w:w="989" w:type="dxa"/>
          </w:tcPr>
          <w:p w14:paraId="7CDF2BE0" w14:textId="5D06DF86"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457</w:t>
            </w:r>
          </w:p>
        </w:tc>
        <w:tc>
          <w:tcPr>
            <w:tcW w:w="900" w:type="dxa"/>
          </w:tcPr>
          <w:p w14:paraId="18A31ADA" w14:textId="39CF32DC"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1,504</w:t>
            </w:r>
          </w:p>
        </w:tc>
      </w:tr>
      <w:tr w:rsidR="00F75D9A" w:rsidRPr="00381DAD" w14:paraId="1AA1DF9C" w14:textId="77777777" w:rsidTr="00A61A4B">
        <w:trPr>
          <w:jc w:val="center"/>
        </w:trPr>
        <w:tc>
          <w:tcPr>
            <w:tcW w:w="3690" w:type="dxa"/>
            <w:vAlign w:val="center"/>
          </w:tcPr>
          <w:p w14:paraId="5F7DE0A7" w14:textId="77777777" w:rsidR="00F75D9A" w:rsidRPr="00F047E1" w:rsidRDefault="00F75D9A" w:rsidP="00F75D9A">
            <w:pPr>
              <w:rPr>
                <w:rFonts w:ascii="Calibri" w:hAnsi="Calibri" w:cs="Calibri"/>
                <w:bCs/>
                <w:color w:val="000000"/>
                <w:sz w:val="20"/>
                <w:szCs w:val="20"/>
              </w:rPr>
            </w:pPr>
            <w:r w:rsidRPr="00F047E1">
              <w:rPr>
                <w:rFonts w:ascii="Calibri" w:hAnsi="Calibri" w:cs="Calibri"/>
                <w:bCs/>
                <w:color w:val="000000"/>
                <w:sz w:val="20"/>
                <w:szCs w:val="20"/>
              </w:rPr>
              <w:t>In Sheltered Employment</w:t>
            </w:r>
          </w:p>
        </w:tc>
        <w:tc>
          <w:tcPr>
            <w:tcW w:w="900" w:type="dxa"/>
            <w:tcMar>
              <w:left w:w="58" w:type="dxa"/>
              <w:right w:w="58" w:type="dxa"/>
            </w:tcMar>
          </w:tcPr>
          <w:p w14:paraId="7B205D93" w14:textId="0E5B52A6"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206</w:t>
            </w:r>
          </w:p>
        </w:tc>
        <w:tc>
          <w:tcPr>
            <w:tcW w:w="856" w:type="dxa"/>
            <w:tcMar>
              <w:left w:w="58" w:type="dxa"/>
              <w:right w:w="58" w:type="dxa"/>
            </w:tcMar>
          </w:tcPr>
          <w:p w14:paraId="23B2DAB9" w14:textId="6B92CB4F"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516</w:t>
            </w:r>
          </w:p>
        </w:tc>
        <w:tc>
          <w:tcPr>
            <w:tcW w:w="856" w:type="dxa"/>
            <w:tcMar>
              <w:left w:w="58" w:type="dxa"/>
              <w:right w:w="58" w:type="dxa"/>
            </w:tcMar>
          </w:tcPr>
          <w:p w14:paraId="1F7DAAAC" w14:textId="6A3CBD27"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34</w:t>
            </w:r>
          </w:p>
        </w:tc>
        <w:tc>
          <w:tcPr>
            <w:tcW w:w="1169" w:type="dxa"/>
          </w:tcPr>
          <w:p w14:paraId="33095C8E" w14:textId="7C35251E"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53</w:t>
            </w:r>
          </w:p>
        </w:tc>
        <w:tc>
          <w:tcPr>
            <w:tcW w:w="989" w:type="dxa"/>
          </w:tcPr>
          <w:p w14:paraId="093085C9" w14:textId="66F79FB0"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201</w:t>
            </w:r>
          </w:p>
        </w:tc>
        <w:tc>
          <w:tcPr>
            <w:tcW w:w="900" w:type="dxa"/>
          </w:tcPr>
          <w:p w14:paraId="25892D76" w14:textId="1A15D1C3"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611</w:t>
            </w:r>
          </w:p>
        </w:tc>
      </w:tr>
      <w:tr w:rsidR="00F75D9A" w:rsidRPr="00381DAD" w14:paraId="005A9D20" w14:textId="77777777" w:rsidTr="00A61A4B">
        <w:trPr>
          <w:jc w:val="center"/>
        </w:trPr>
        <w:tc>
          <w:tcPr>
            <w:tcW w:w="3690" w:type="dxa"/>
            <w:vAlign w:val="center"/>
          </w:tcPr>
          <w:p w14:paraId="4F0C320C" w14:textId="77777777" w:rsidR="00F75D9A" w:rsidRPr="00F047E1" w:rsidRDefault="00F75D9A" w:rsidP="00F75D9A">
            <w:pPr>
              <w:rPr>
                <w:rFonts w:ascii="Calibri" w:hAnsi="Calibri" w:cs="Calibri"/>
                <w:b/>
                <w:bCs/>
                <w:sz w:val="20"/>
                <w:szCs w:val="20"/>
              </w:rPr>
            </w:pPr>
            <w:r w:rsidRPr="00F047E1">
              <w:rPr>
                <w:rFonts w:ascii="Calibri" w:hAnsi="Calibri" w:cs="Calibri"/>
                <w:b/>
                <w:bCs/>
                <w:sz w:val="20"/>
                <w:szCs w:val="20"/>
              </w:rPr>
              <w:t xml:space="preserve">Total Adults Employed </w:t>
            </w:r>
          </w:p>
        </w:tc>
        <w:tc>
          <w:tcPr>
            <w:tcW w:w="900" w:type="dxa"/>
            <w:tcMar>
              <w:left w:w="58" w:type="dxa"/>
              <w:right w:w="58" w:type="dxa"/>
            </w:tcMar>
          </w:tcPr>
          <w:p w14:paraId="21E8D00D" w14:textId="7897C548" w:rsidR="00F75D9A" w:rsidRPr="009B5509" w:rsidRDefault="00F75D9A" w:rsidP="00F75D9A">
            <w:pPr>
              <w:jc w:val="center"/>
              <w:rPr>
                <w:rFonts w:asciiTheme="minorHAnsi" w:hAnsiTheme="minorHAnsi" w:cstheme="minorHAnsi"/>
                <w:b/>
                <w:sz w:val="20"/>
                <w:szCs w:val="20"/>
              </w:rPr>
            </w:pPr>
            <w:r w:rsidRPr="009B5509">
              <w:rPr>
                <w:rFonts w:asciiTheme="minorHAnsi" w:hAnsiTheme="minorHAnsi" w:cstheme="minorHAnsi"/>
                <w:sz w:val="20"/>
                <w:szCs w:val="20"/>
              </w:rPr>
              <w:t>23,191</w:t>
            </w:r>
          </w:p>
        </w:tc>
        <w:tc>
          <w:tcPr>
            <w:tcW w:w="856" w:type="dxa"/>
            <w:tcMar>
              <w:left w:w="58" w:type="dxa"/>
              <w:right w:w="58" w:type="dxa"/>
            </w:tcMar>
          </w:tcPr>
          <w:p w14:paraId="7B824674" w14:textId="3E81CA49" w:rsidR="00F75D9A" w:rsidRPr="009B5509" w:rsidRDefault="00F75D9A" w:rsidP="00F75D9A">
            <w:pPr>
              <w:jc w:val="center"/>
              <w:rPr>
                <w:rFonts w:asciiTheme="minorHAnsi" w:hAnsiTheme="minorHAnsi" w:cstheme="minorHAnsi"/>
                <w:b/>
                <w:sz w:val="20"/>
                <w:szCs w:val="20"/>
              </w:rPr>
            </w:pPr>
            <w:r w:rsidRPr="009B5509">
              <w:rPr>
                <w:rFonts w:asciiTheme="minorHAnsi" w:hAnsiTheme="minorHAnsi" w:cstheme="minorHAnsi"/>
                <w:sz w:val="20"/>
                <w:szCs w:val="20"/>
              </w:rPr>
              <w:t>3,440</w:t>
            </w:r>
          </w:p>
        </w:tc>
        <w:tc>
          <w:tcPr>
            <w:tcW w:w="856" w:type="dxa"/>
            <w:tcMar>
              <w:left w:w="58" w:type="dxa"/>
              <w:right w:w="58" w:type="dxa"/>
            </w:tcMar>
          </w:tcPr>
          <w:p w14:paraId="4FD5D823" w14:textId="16181EDB" w:rsidR="00F75D9A" w:rsidRPr="009B5509" w:rsidRDefault="00F75D9A" w:rsidP="00F75D9A">
            <w:pPr>
              <w:jc w:val="center"/>
              <w:rPr>
                <w:rFonts w:asciiTheme="minorHAnsi" w:hAnsiTheme="minorHAnsi" w:cstheme="minorHAnsi"/>
                <w:b/>
                <w:sz w:val="20"/>
                <w:szCs w:val="20"/>
              </w:rPr>
            </w:pPr>
            <w:r w:rsidRPr="009B5509">
              <w:rPr>
                <w:rFonts w:asciiTheme="minorHAnsi" w:hAnsiTheme="minorHAnsi" w:cstheme="minorHAnsi"/>
                <w:sz w:val="20"/>
                <w:szCs w:val="20"/>
              </w:rPr>
              <w:t>9,202</w:t>
            </w:r>
          </w:p>
        </w:tc>
        <w:tc>
          <w:tcPr>
            <w:tcW w:w="1169" w:type="dxa"/>
          </w:tcPr>
          <w:p w14:paraId="59D18444" w14:textId="20226BE0" w:rsidR="00F75D9A" w:rsidRPr="009B5509" w:rsidRDefault="00F75D9A" w:rsidP="00F75D9A">
            <w:pPr>
              <w:jc w:val="center"/>
              <w:rPr>
                <w:rFonts w:asciiTheme="minorHAnsi" w:hAnsiTheme="minorHAnsi" w:cstheme="minorHAnsi"/>
                <w:b/>
                <w:sz w:val="20"/>
                <w:szCs w:val="20"/>
              </w:rPr>
            </w:pPr>
            <w:r w:rsidRPr="009B5509">
              <w:rPr>
                <w:rFonts w:asciiTheme="minorHAnsi" w:hAnsiTheme="minorHAnsi" w:cstheme="minorHAnsi"/>
                <w:sz w:val="20"/>
                <w:szCs w:val="20"/>
              </w:rPr>
              <w:t>7,156</w:t>
            </w:r>
          </w:p>
        </w:tc>
        <w:tc>
          <w:tcPr>
            <w:tcW w:w="989" w:type="dxa"/>
          </w:tcPr>
          <w:p w14:paraId="55CBFE77" w14:textId="4EF5C73A" w:rsidR="00F75D9A" w:rsidRPr="009B5509" w:rsidRDefault="00F75D9A" w:rsidP="00F75D9A">
            <w:pPr>
              <w:jc w:val="center"/>
              <w:rPr>
                <w:rFonts w:asciiTheme="minorHAnsi" w:hAnsiTheme="minorHAnsi" w:cstheme="minorHAnsi"/>
                <w:b/>
                <w:sz w:val="20"/>
                <w:szCs w:val="20"/>
              </w:rPr>
            </w:pPr>
            <w:r w:rsidRPr="009B5509">
              <w:rPr>
                <w:rFonts w:asciiTheme="minorHAnsi" w:hAnsiTheme="minorHAnsi" w:cstheme="minorHAnsi"/>
                <w:sz w:val="20"/>
                <w:szCs w:val="20"/>
              </w:rPr>
              <w:t>19,327</w:t>
            </w:r>
          </w:p>
        </w:tc>
        <w:tc>
          <w:tcPr>
            <w:tcW w:w="900" w:type="dxa"/>
          </w:tcPr>
          <w:p w14:paraId="0DEE0C4D" w14:textId="5CDF0131" w:rsidR="00F75D9A" w:rsidRPr="009B5509" w:rsidRDefault="00F75D9A" w:rsidP="00F75D9A">
            <w:pPr>
              <w:jc w:val="center"/>
              <w:rPr>
                <w:rFonts w:asciiTheme="minorHAnsi" w:hAnsiTheme="minorHAnsi" w:cstheme="minorHAnsi"/>
                <w:b/>
                <w:sz w:val="20"/>
                <w:szCs w:val="20"/>
              </w:rPr>
            </w:pPr>
            <w:r w:rsidRPr="009B5509">
              <w:rPr>
                <w:rFonts w:asciiTheme="minorHAnsi" w:hAnsiTheme="minorHAnsi" w:cstheme="minorHAnsi"/>
                <w:sz w:val="20"/>
                <w:szCs w:val="20"/>
              </w:rPr>
              <w:t>39,485</w:t>
            </w:r>
          </w:p>
        </w:tc>
      </w:tr>
      <w:tr w:rsidR="00F75D9A" w:rsidRPr="00381DAD" w14:paraId="54F377E1" w14:textId="77777777" w:rsidTr="00A61A4B">
        <w:trPr>
          <w:jc w:val="center"/>
        </w:trPr>
        <w:tc>
          <w:tcPr>
            <w:tcW w:w="3690" w:type="dxa"/>
            <w:vAlign w:val="center"/>
          </w:tcPr>
          <w:p w14:paraId="2F4A7C1D" w14:textId="77777777" w:rsidR="00F75D9A" w:rsidRPr="00F047E1" w:rsidRDefault="00F75D9A" w:rsidP="00F75D9A">
            <w:pPr>
              <w:rPr>
                <w:rFonts w:ascii="Calibri" w:hAnsi="Calibri" w:cs="Calibri"/>
                <w:bCs/>
                <w:color w:val="000000"/>
                <w:sz w:val="20"/>
                <w:szCs w:val="20"/>
              </w:rPr>
            </w:pPr>
            <w:r w:rsidRPr="00F047E1">
              <w:rPr>
                <w:rFonts w:ascii="Calibri" w:hAnsi="Calibri" w:cs="Calibri"/>
                <w:bCs/>
                <w:color w:val="000000"/>
                <w:sz w:val="20"/>
                <w:szCs w:val="20"/>
              </w:rPr>
              <w:t>Unemployed</w:t>
            </w:r>
          </w:p>
        </w:tc>
        <w:tc>
          <w:tcPr>
            <w:tcW w:w="900" w:type="dxa"/>
            <w:tcMar>
              <w:left w:w="58" w:type="dxa"/>
              <w:right w:w="58" w:type="dxa"/>
            </w:tcMar>
          </w:tcPr>
          <w:p w14:paraId="578833CF" w14:textId="5E3028BD"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15,815</w:t>
            </w:r>
          </w:p>
        </w:tc>
        <w:tc>
          <w:tcPr>
            <w:tcW w:w="856" w:type="dxa"/>
            <w:tcMar>
              <w:left w:w="58" w:type="dxa"/>
              <w:right w:w="58" w:type="dxa"/>
            </w:tcMar>
          </w:tcPr>
          <w:p w14:paraId="1F387B2C" w14:textId="143A27DE"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1,846</w:t>
            </w:r>
          </w:p>
        </w:tc>
        <w:tc>
          <w:tcPr>
            <w:tcW w:w="856" w:type="dxa"/>
            <w:tcMar>
              <w:left w:w="58" w:type="dxa"/>
              <w:right w:w="58" w:type="dxa"/>
            </w:tcMar>
          </w:tcPr>
          <w:p w14:paraId="54D9FAD5" w14:textId="36647BAB"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7,001</w:t>
            </w:r>
          </w:p>
        </w:tc>
        <w:tc>
          <w:tcPr>
            <w:tcW w:w="1169" w:type="dxa"/>
          </w:tcPr>
          <w:p w14:paraId="4978B1E4" w14:textId="63913109"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6,476</w:t>
            </w:r>
          </w:p>
        </w:tc>
        <w:tc>
          <w:tcPr>
            <w:tcW w:w="989" w:type="dxa"/>
          </w:tcPr>
          <w:p w14:paraId="364D62FA" w14:textId="1207C3F8"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13,109</w:t>
            </w:r>
          </w:p>
        </w:tc>
        <w:tc>
          <w:tcPr>
            <w:tcW w:w="900" w:type="dxa"/>
          </w:tcPr>
          <w:p w14:paraId="51DAE0EB" w14:textId="723DA018"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26,528</w:t>
            </w:r>
          </w:p>
        </w:tc>
      </w:tr>
      <w:tr w:rsidR="00F75D9A" w:rsidRPr="00381DAD" w14:paraId="20BC6B65" w14:textId="77777777" w:rsidTr="00A61A4B">
        <w:trPr>
          <w:jc w:val="center"/>
        </w:trPr>
        <w:tc>
          <w:tcPr>
            <w:tcW w:w="3690" w:type="dxa"/>
            <w:vAlign w:val="center"/>
          </w:tcPr>
          <w:p w14:paraId="1B4ACAC8" w14:textId="77777777" w:rsidR="00F75D9A" w:rsidRPr="00F047E1" w:rsidRDefault="00F75D9A" w:rsidP="00F75D9A">
            <w:pPr>
              <w:rPr>
                <w:rFonts w:ascii="Calibri" w:hAnsi="Calibri" w:cs="Calibri"/>
                <w:bCs/>
                <w:color w:val="000000"/>
                <w:sz w:val="20"/>
                <w:szCs w:val="20"/>
              </w:rPr>
            </w:pPr>
            <w:r w:rsidRPr="00F047E1">
              <w:rPr>
                <w:rFonts w:ascii="Calibri" w:hAnsi="Calibri" w:cs="Calibri"/>
                <w:bCs/>
                <w:color w:val="000000"/>
                <w:sz w:val="20"/>
                <w:szCs w:val="20"/>
              </w:rPr>
              <w:t>Not In Labor Force: Homemaker</w:t>
            </w:r>
          </w:p>
        </w:tc>
        <w:tc>
          <w:tcPr>
            <w:tcW w:w="900" w:type="dxa"/>
            <w:tcMar>
              <w:left w:w="58" w:type="dxa"/>
              <w:right w:w="58" w:type="dxa"/>
            </w:tcMar>
          </w:tcPr>
          <w:p w14:paraId="1F521E8B" w14:textId="639B76F9"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1,462</w:t>
            </w:r>
          </w:p>
        </w:tc>
        <w:tc>
          <w:tcPr>
            <w:tcW w:w="856" w:type="dxa"/>
            <w:tcMar>
              <w:left w:w="58" w:type="dxa"/>
              <w:right w:w="58" w:type="dxa"/>
            </w:tcMar>
          </w:tcPr>
          <w:p w14:paraId="2C6A83B4" w14:textId="648ED7B6"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24</w:t>
            </w:r>
          </w:p>
        </w:tc>
        <w:tc>
          <w:tcPr>
            <w:tcW w:w="856" w:type="dxa"/>
            <w:tcMar>
              <w:left w:w="58" w:type="dxa"/>
              <w:right w:w="58" w:type="dxa"/>
            </w:tcMar>
          </w:tcPr>
          <w:p w14:paraId="0D4B55A1" w14:textId="400F915D"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306</w:t>
            </w:r>
          </w:p>
        </w:tc>
        <w:tc>
          <w:tcPr>
            <w:tcW w:w="1169" w:type="dxa"/>
          </w:tcPr>
          <w:p w14:paraId="1E20AEAC" w14:textId="687158FB"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334</w:t>
            </w:r>
          </w:p>
        </w:tc>
        <w:tc>
          <w:tcPr>
            <w:tcW w:w="989" w:type="dxa"/>
          </w:tcPr>
          <w:p w14:paraId="66D9C443" w14:textId="56E54715"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792</w:t>
            </w:r>
          </w:p>
        </w:tc>
        <w:tc>
          <w:tcPr>
            <w:tcW w:w="900" w:type="dxa"/>
          </w:tcPr>
          <w:p w14:paraId="4B4B3EFE" w14:textId="4133BD1E"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1,922</w:t>
            </w:r>
          </w:p>
        </w:tc>
      </w:tr>
      <w:tr w:rsidR="00F75D9A" w:rsidRPr="00381DAD" w14:paraId="122AB737" w14:textId="77777777" w:rsidTr="00A61A4B">
        <w:trPr>
          <w:jc w:val="center"/>
        </w:trPr>
        <w:tc>
          <w:tcPr>
            <w:tcW w:w="3690" w:type="dxa"/>
            <w:vAlign w:val="center"/>
          </w:tcPr>
          <w:p w14:paraId="7770C25A" w14:textId="77777777" w:rsidR="00F75D9A" w:rsidRPr="00F047E1" w:rsidRDefault="00F75D9A" w:rsidP="00F75D9A">
            <w:pPr>
              <w:rPr>
                <w:rFonts w:ascii="Calibri" w:hAnsi="Calibri" w:cs="Calibri"/>
                <w:bCs/>
                <w:color w:val="000000"/>
                <w:sz w:val="20"/>
                <w:szCs w:val="20"/>
              </w:rPr>
            </w:pPr>
            <w:r w:rsidRPr="00F047E1">
              <w:rPr>
                <w:rFonts w:ascii="Calibri" w:hAnsi="Calibri" w:cs="Calibri"/>
                <w:bCs/>
                <w:color w:val="000000"/>
                <w:sz w:val="20"/>
                <w:szCs w:val="20"/>
              </w:rPr>
              <w:t>Not In Labor Force: Student/Job Training</w:t>
            </w:r>
          </w:p>
        </w:tc>
        <w:tc>
          <w:tcPr>
            <w:tcW w:w="900" w:type="dxa"/>
            <w:tcMar>
              <w:left w:w="58" w:type="dxa"/>
              <w:right w:w="58" w:type="dxa"/>
            </w:tcMar>
          </w:tcPr>
          <w:p w14:paraId="3BDCED88" w14:textId="21D0D581"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5,987</w:t>
            </w:r>
          </w:p>
        </w:tc>
        <w:tc>
          <w:tcPr>
            <w:tcW w:w="856" w:type="dxa"/>
            <w:tcMar>
              <w:left w:w="58" w:type="dxa"/>
              <w:right w:w="58" w:type="dxa"/>
            </w:tcMar>
          </w:tcPr>
          <w:p w14:paraId="2591578B" w14:textId="47E92D3B"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2,777</w:t>
            </w:r>
          </w:p>
        </w:tc>
        <w:tc>
          <w:tcPr>
            <w:tcW w:w="856" w:type="dxa"/>
            <w:tcMar>
              <w:left w:w="58" w:type="dxa"/>
              <w:right w:w="58" w:type="dxa"/>
            </w:tcMar>
          </w:tcPr>
          <w:p w14:paraId="53D840DE" w14:textId="371BA3B9"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312</w:t>
            </w:r>
          </w:p>
        </w:tc>
        <w:tc>
          <w:tcPr>
            <w:tcW w:w="1169" w:type="dxa"/>
          </w:tcPr>
          <w:p w14:paraId="2A3D6888" w14:textId="54131D1B"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2,202</w:t>
            </w:r>
          </w:p>
        </w:tc>
        <w:tc>
          <w:tcPr>
            <w:tcW w:w="989" w:type="dxa"/>
          </w:tcPr>
          <w:p w14:paraId="10DFE1C1" w14:textId="4D069ED2"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5,042</w:t>
            </w:r>
          </w:p>
        </w:tc>
        <w:tc>
          <w:tcPr>
            <w:tcW w:w="900" w:type="dxa"/>
          </w:tcPr>
          <w:p w14:paraId="77E4735D" w14:textId="78EB003C"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11,680</w:t>
            </w:r>
          </w:p>
        </w:tc>
      </w:tr>
      <w:tr w:rsidR="00F75D9A" w:rsidRPr="00381DAD" w14:paraId="05785CC8" w14:textId="77777777" w:rsidTr="00A61A4B">
        <w:trPr>
          <w:trHeight w:val="159"/>
          <w:jc w:val="center"/>
        </w:trPr>
        <w:tc>
          <w:tcPr>
            <w:tcW w:w="3690" w:type="dxa"/>
            <w:vAlign w:val="center"/>
          </w:tcPr>
          <w:p w14:paraId="0BC37959" w14:textId="77777777" w:rsidR="00F75D9A" w:rsidRPr="00F047E1" w:rsidRDefault="00F75D9A" w:rsidP="00F75D9A">
            <w:pPr>
              <w:rPr>
                <w:rFonts w:ascii="Calibri" w:hAnsi="Calibri" w:cs="Calibri"/>
                <w:bCs/>
                <w:color w:val="000000"/>
                <w:sz w:val="20"/>
                <w:szCs w:val="20"/>
              </w:rPr>
            </w:pPr>
            <w:r w:rsidRPr="00F047E1">
              <w:rPr>
                <w:rFonts w:ascii="Calibri" w:hAnsi="Calibri" w:cs="Calibri"/>
                <w:bCs/>
                <w:color w:val="000000"/>
                <w:sz w:val="20"/>
                <w:szCs w:val="20"/>
              </w:rPr>
              <w:t>Not In Labor Force: Retired</w:t>
            </w:r>
          </w:p>
        </w:tc>
        <w:tc>
          <w:tcPr>
            <w:tcW w:w="900" w:type="dxa"/>
            <w:tcMar>
              <w:left w:w="58" w:type="dxa"/>
              <w:right w:w="58" w:type="dxa"/>
            </w:tcMar>
          </w:tcPr>
          <w:p w14:paraId="6512FFEE" w14:textId="1D069D64"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2,190</w:t>
            </w:r>
          </w:p>
        </w:tc>
        <w:tc>
          <w:tcPr>
            <w:tcW w:w="856" w:type="dxa"/>
            <w:tcMar>
              <w:left w:w="58" w:type="dxa"/>
              <w:right w:w="58" w:type="dxa"/>
            </w:tcMar>
          </w:tcPr>
          <w:p w14:paraId="24F13AEF" w14:textId="0B8F4247"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272</w:t>
            </w:r>
          </w:p>
        </w:tc>
        <w:tc>
          <w:tcPr>
            <w:tcW w:w="856" w:type="dxa"/>
            <w:tcMar>
              <w:left w:w="58" w:type="dxa"/>
              <w:right w:w="58" w:type="dxa"/>
            </w:tcMar>
          </w:tcPr>
          <w:p w14:paraId="556EA4C3" w14:textId="7D9CA226"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313</w:t>
            </w:r>
          </w:p>
        </w:tc>
        <w:tc>
          <w:tcPr>
            <w:tcW w:w="1169" w:type="dxa"/>
          </w:tcPr>
          <w:p w14:paraId="10B3A0B0" w14:textId="5A93A68E"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963</w:t>
            </w:r>
          </w:p>
        </w:tc>
        <w:tc>
          <w:tcPr>
            <w:tcW w:w="989" w:type="dxa"/>
          </w:tcPr>
          <w:p w14:paraId="56283D3A" w14:textId="76238DDF"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1,310</w:t>
            </w:r>
          </w:p>
        </w:tc>
        <w:tc>
          <w:tcPr>
            <w:tcW w:w="900" w:type="dxa"/>
          </w:tcPr>
          <w:p w14:paraId="60C1CA3C" w14:textId="6A7503EB"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3,456</w:t>
            </w:r>
          </w:p>
        </w:tc>
      </w:tr>
      <w:tr w:rsidR="00F75D9A" w:rsidRPr="00381DAD" w14:paraId="48F110EE" w14:textId="77777777" w:rsidTr="00A61A4B">
        <w:trPr>
          <w:jc w:val="center"/>
        </w:trPr>
        <w:tc>
          <w:tcPr>
            <w:tcW w:w="3690" w:type="dxa"/>
            <w:vAlign w:val="center"/>
          </w:tcPr>
          <w:p w14:paraId="758C173B" w14:textId="77777777" w:rsidR="00F75D9A" w:rsidRPr="00F047E1" w:rsidRDefault="00F75D9A" w:rsidP="00F75D9A">
            <w:pPr>
              <w:rPr>
                <w:rFonts w:ascii="Calibri" w:hAnsi="Calibri" w:cs="Calibri"/>
                <w:bCs/>
                <w:color w:val="000000"/>
                <w:sz w:val="20"/>
                <w:szCs w:val="20"/>
              </w:rPr>
            </w:pPr>
            <w:r w:rsidRPr="00F047E1">
              <w:rPr>
                <w:rFonts w:ascii="Calibri" w:hAnsi="Calibri" w:cs="Calibri"/>
                <w:bCs/>
                <w:color w:val="000000"/>
                <w:sz w:val="20"/>
                <w:szCs w:val="20"/>
              </w:rPr>
              <w:t>Not In Labor Force: Disabled</w:t>
            </w:r>
          </w:p>
        </w:tc>
        <w:tc>
          <w:tcPr>
            <w:tcW w:w="900" w:type="dxa"/>
            <w:tcMar>
              <w:left w:w="58" w:type="dxa"/>
              <w:right w:w="58" w:type="dxa"/>
            </w:tcMar>
          </w:tcPr>
          <w:p w14:paraId="1A642394" w14:textId="587F0C45"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26,325</w:t>
            </w:r>
          </w:p>
        </w:tc>
        <w:tc>
          <w:tcPr>
            <w:tcW w:w="856" w:type="dxa"/>
            <w:tcMar>
              <w:left w:w="58" w:type="dxa"/>
              <w:right w:w="58" w:type="dxa"/>
            </w:tcMar>
          </w:tcPr>
          <w:p w14:paraId="0EB5A309" w14:textId="57790FAB"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6,775</w:t>
            </w:r>
          </w:p>
        </w:tc>
        <w:tc>
          <w:tcPr>
            <w:tcW w:w="856" w:type="dxa"/>
            <w:tcMar>
              <w:left w:w="58" w:type="dxa"/>
              <w:right w:w="58" w:type="dxa"/>
            </w:tcMar>
          </w:tcPr>
          <w:p w14:paraId="693C4192" w14:textId="5A5AE7CA"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2,718</w:t>
            </w:r>
          </w:p>
        </w:tc>
        <w:tc>
          <w:tcPr>
            <w:tcW w:w="1169" w:type="dxa"/>
          </w:tcPr>
          <w:p w14:paraId="47AC6BCF" w14:textId="7C5071CB"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6,338</w:t>
            </w:r>
          </w:p>
        </w:tc>
        <w:tc>
          <w:tcPr>
            <w:tcW w:w="989" w:type="dxa"/>
          </w:tcPr>
          <w:p w14:paraId="3CB0C203" w14:textId="021EE428"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11,174</w:t>
            </w:r>
          </w:p>
        </w:tc>
        <w:tc>
          <w:tcPr>
            <w:tcW w:w="900" w:type="dxa"/>
          </w:tcPr>
          <w:p w14:paraId="640FB073" w14:textId="26242D9B"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35,246</w:t>
            </w:r>
          </w:p>
        </w:tc>
      </w:tr>
      <w:tr w:rsidR="00F75D9A" w:rsidRPr="00381DAD" w14:paraId="1F162844" w14:textId="77777777" w:rsidTr="00A61A4B">
        <w:trPr>
          <w:jc w:val="center"/>
        </w:trPr>
        <w:tc>
          <w:tcPr>
            <w:tcW w:w="3690" w:type="dxa"/>
            <w:vAlign w:val="center"/>
          </w:tcPr>
          <w:p w14:paraId="63235C8A" w14:textId="77777777" w:rsidR="00F75D9A" w:rsidRPr="00F047E1" w:rsidRDefault="00F75D9A" w:rsidP="00F75D9A">
            <w:pPr>
              <w:rPr>
                <w:rFonts w:ascii="Calibri" w:hAnsi="Calibri" w:cs="Calibri"/>
                <w:bCs/>
                <w:color w:val="000000"/>
                <w:sz w:val="20"/>
                <w:szCs w:val="20"/>
              </w:rPr>
            </w:pPr>
            <w:r w:rsidRPr="00F047E1">
              <w:rPr>
                <w:rFonts w:ascii="Calibri" w:hAnsi="Calibri" w:cs="Calibri"/>
                <w:bCs/>
                <w:color w:val="000000"/>
                <w:sz w:val="20"/>
                <w:szCs w:val="20"/>
              </w:rPr>
              <w:t>Not In Labor Force: Institution or inmate</w:t>
            </w:r>
          </w:p>
        </w:tc>
        <w:tc>
          <w:tcPr>
            <w:tcW w:w="900" w:type="dxa"/>
            <w:tcMar>
              <w:left w:w="58" w:type="dxa"/>
              <w:right w:w="58" w:type="dxa"/>
            </w:tcMar>
          </w:tcPr>
          <w:p w14:paraId="5EA2116B" w14:textId="1167DC67"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3,038</w:t>
            </w:r>
          </w:p>
        </w:tc>
        <w:tc>
          <w:tcPr>
            <w:tcW w:w="856" w:type="dxa"/>
            <w:tcMar>
              <w:left w:w="58" w:type="dxa"/>
              <w:right w:w="58" w:type="dxa"/>
            </w:tcMar>
          </w:tcPr>
          <w:p w14:paraId="0A83164F" w14:textId="2C2F9C28"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994</w:t>
            </w:r>
          </w:p>
        </w:tc>
        <w:tc>
          <w:tcPr>
            <w:tcW w:w="856" w:type="dxa"/>
            <w:tcMar>
              <w:left w:w="58" w:type="dxa"/>
              <w:right w:w="58" w:type="dxa"/>
            </w:tcMar>
          </w:tcPr>
          <w:p w14:paraId="61FB7F68" w14:textId="75E20117"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815</w:t>
            </w:r>
          </w:p>
        </w:tc>
        <w:tc>
          <w:tcPr>
            <w:tcW w:w="1169" w:type="dxa"/>
          </w:tcPr>
          <w:p w14:paraId="0853A728" w14:textId="352A628C"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3,534</w:t>
            </w:r>
          </w:p>
        </w:tc>
        <w:tc>
          <w:tcPr>
            <w:tcW w:w="989" w:type="dxa"/>
          </w:tcPr>
          <w:p w14:paraId="0C404C00" w14:textId="1C8A5656"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4,045</w:t>
            </w:r>
          </w:p>
        </w:tc>
        <w:tc>
          <w:tcPr>
            <w:tcW w:w="900" w:type="dxa"/>
          </w:tcPr>
          <w:p w14:paraId="19B064C2" w14:textId="54F667FA"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8,217</w:t>
            </w:r>
          </w:p>
        </w:tc>
      </w:tr>
      <w:tr w:rsidR="00F75D9A" w:rsidRPr="00381DAD" w14:paraId="5830DB98" w14:textId="77777777" w:rsidTr="00A61A4B">
        <w:trPr>
          <w:jc w:val="center"/>
        </w:trPr>
        <w:tc>
          <w:tcPr>
            <w:tcW w:w="3690" w:type="dxa"/>
            <w:vAlign w:val="center"/>
          </w:tcPr>
          <w:p w14:paraId="30137E9D" w14:textId="77777777" w:rsidR="00F75D9A" w:rsidRPr="00F047E1" w:rsidRDefault="00F75D9A" w:rsidP="00F75D9A">
            <w:pPr>
              <w:rPr>
                <w:rFonts w:ascii="Calibri" w:hAnsi="Calibri" w:cs="Calibri"/>
                <w:bCs/>
                <w:color w:val="000000"/>
                <w:sz w:val="20"/>
                <w:szCs w:val="20"/>
              </w:rPr>
            </w:pPr>
            <w:r w:rsidRPr="00F047E1">
              <w:rPr>
                <w:rFonts w:ascii="Calibri" w:hAnsi="Calibri" w:cs="Calibri"/>
                <w:bCs/>
                <w:color w:val="000000"/>
                <w:sz w:val="20"/>
                <w:szCs w:val="20"/>
              </w:rPr>
              <w:t>Not In Labor Force: Other</w:t>
            </w:r>
          </w:p>
        </w:tc>
        <w:tc>
          <w:tcPr>
            <w:tcW w:w="900" w:type="dxa"/>
            <w:tcMar>
              <w:left w:w="58" w:type="dxa"/>
              <w:right w:w="58" w:type="dxa"/>
            </w:tcMar>
          </w:tcPr>
          <w:p w14:paraId="76ED1291" w14:textId="1D1D8AF0"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9,043</w:t>
            </w:r>
          </w:p>
        </w:tc>
        <w:tc>
          <w:tcPr>
            <w:tcW w:w="856" w:type="dxa"/>
            <w:tcMar>
              <w:left w:w="58" w:type="dxa"/>
              <w:right w:w="58" w:type="dxa"/>
            </w:tcMar>
          </w:tcPr>
          <w:p w14:paraId="7FEE3417" w14:textId="22366DC3"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3,429</w:t>
            </w:r>
          </w:p>
        </w:tc>
        <w:tc>
          <w:tcPr>
            <w:tcW w:w="856" w:type="dxa"/>
            <w:tcMar>
              <w:left w:w="58" w:type="dxa"/>
              <w:right w:w="58" w:type="dxa"/>
            </w:tcMar>
          </w:tcPr>
          <w:p w14:paraId="70515A74" w14:textId="382C9AAB"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2,284</w:t>
            </w:r>
          </w:p>
        </w:tc>
        <w:tc>
          <w:tcPr>
            <w:tcW w:w="1169" w:type="dxa"/>
          </w:tcPr>
          <w:p w14:paraId="7C07F6F8" w14:textId="36135A9E"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2,967</w:t>
            </w:r>
          </w:p>
        </w:tc>
        <w:tc>
          <w:tcPr>
            <w:tcW w:w="989" w:type="dxa"/>
          </w:tcPr>
          <w:p w14:paraId="589A7869" w14:textId="4AEA60A4"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6,112</w:t>
            </w:r>
          </w:p>
        </w:tc>
        <w:tc>
          <w:tcPr>
            <w:tcW w:w="900" w:type="dxa"/>
          </w:tcPr>
          <w:p w14:paraId="390A38C6" w14:textId="0BFFC567"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15,168</w:t>
            </w:r>
          </w:p>
        </w:tc>
      </w:tr>
      <w:tr w:rsidR="00F75D9A" w:rsidRPr="00381DAD" w14:paraId="587F246C" w14:textId="77777777" w:rsidTr="00A61A4B">
        <w:trPr>
          <w:jc w:val="center"/>
        </w:trPr>
        <w:tc>
          <w:tcPr>
            <w:tcW w:w="3690" w:type="dxa"/>
            <w:vAlign w:val="center"/>
          </w:tcPr>
          <w:p w14:paraId="656543FD" w14:textId="77777777" w:rsidR="00F75D9A" w:rsidRPr="00F047E1" w:rsidRDefault="00F75D9A" w:rsidP="00F75D9A">
            <w:pPr>
              <w:rPr>
                <w:rFonts w:ascii="Calibri" w:hAnsi="Calibri" w:cs="Calibri"/>
                <w:bCs/>
                <w:color w:val="000000"/>
                <w:sz w:val="20"/>
                <w:szCs w:val="20"/>
              </w:rPr>
            </w:pPr>
            <w:r w:rsidRPr="00F047E1">
              <w:rPr>
                <w:rFonts w:ascii="Calibri" w:hAnsi="Calibri" w:cs="Calibri"/>
                <w:bCs/>
                <w:color w:val="000000"/>
                <w:sz w:val="20"/>
                <w:szCs w:val="20"/>
              </w:rPr>
              <w:t>Unknown</w:t>
            </w:r>
          </w:p>
        </w:tc>
        <w:tc>
          <w:tcPr>
            <w:tcW w:w="900" w:type="dxa"/>
            <w:tcMar>
              <w:left w:w="58" w:type="dxa"/>
              <w:right w:w="58" w:type="dxa"/>
            </w:tcMar>
          </w:tcPr>
          <w:p w14:paraId="78EE1EB8" w14:textId="7DA4D92D"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2,112</w:t>
            </w:r>
          </w:p>
        </w:tc>
        <w:tc>
          <w:tcPr>
            <w:tcW w:w="856" w:type="dxa"/>
            <w:tcMar>
              <w:left w:w="58" w:type="dxa"/>
              <w:right w:w="58" w:type="dxa"/>
            </w:tcMar>
          </w:tcPr>
          <w:p w14:paraId="621D6291" w14:textId="268DB30E"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154</w:t>
            </w:r>
          </w:p>
        </w:tc>
        <w:tc>
          <w:tcPr>
            <w:tcW w:w="856" w:type="dxa"/>
            <w:tcMar>
              <w:left w:w="58" w:type="dxa"/>
              <w:right w:w="58" w:type="dxa"/>
            </w:tcMar>
          </w:tcPr>
          <w:p w14:paraId="1C5B39E8" w14:textId="12C29B03"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850</w:t>
            </w:r>
          </w:p>
        </w:tc>
        <w:tc>
          <w:tcPr>
            <w:tcW w:w="1169" w:type="dxa"/>
          </w:tcPr>
          <w:p w14:paraId="72C93BF7" w14:textId="1F883D5C"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2,472</w:t>
            </w:r>
          </w:p>
        </w:tc>
        <w:tc>
          <w:tcPr>
            <w:tcW w:w="989" w:type="dxa"/>
          </w:tcPr>
          <w:p w14:paraId="2D0E65E6" w14:textId="4EE89008"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1,956</w:t>
            </w:r>
          </w:p>
        </w:tc>
        <w:tc>
          <w:tcPr>
            <w:tcW w:w="900" w:type="dxa"/>
          </w:tcPr>
          <w:p w14:paraId="1C67E314" w14:textId="6E44C340"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5,443</w:t>
            </w:r>
          </w:p>
        </w:tc>
      </w:tr>
      <w:tr w:rsidR="00F75D9A" w:rsidRPr="00381DAD" w14:paraId="2B2770A4" w14:textId="77777777" w:rsidTr="00A61A4B">
        <w:trPr>
          <w:jc w:val="center"/>
        </w:trPr>
        <w:tc>
          <w:tcPr>
            <w:tcW w:w="3690" w:type="dxa"/>
            <w:vAlign w:val="center"/>
          </w:tcPr>
          <w:p w14:paraId="20A518E1" w14:textId="77777777" w:rsidR="00F75D9A" w:rsidRPr="00F047E1" w:rsidRDefault="00F75D9A" w:rsidP="00F75D9A">
            <w:pPr>
              <w:rPr>
                <w:rFonts w:ascii="Calibri" w:hAnsi="Calibri" w:cs="Calibri"/>
                <w:bCs/>
                <w:color w:val="000000"/>
                <w:sz w:val="20"/>
                <w:szCs w:val="20"/>
              </w:rPr>
            </w:pPr>
            <w:r w:rsidRPr="00F047E1">
              <w:rPr>
                <w:rFonts w:ascii="Calibri" w:hAnsi="Calibri" w:cs="Calibri"/>
                <w:bCs/>
                <w:color w:val="000000"/>
                <w:sz w:val="20"/>
                <w:szCs w:val="20"/>
              </w:rPr>
              <w:t>Not Collected</w:t>
            </w:r>
          </w:p>
        </w:tc>
        <w:tc>
          <w:tcPr>
            <w:tcW w:w="900" w:type="dxa"/>
            <w:tcMar>
              <w:left w:w="58" w:type="dxa"/>
              <w:right w:w="58" w:type="dxa"/>
            </w:tcMar>
          </w:tcPr>
          <w:p w14:paraId="78B83AD0" w14:textId="38C877B3"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2,626</w:t>
            </w:r>
          </w:p>
        </w:tc>
        <w:tc>
          <w:tcPr>
            <w:tcW w:w="856" w:type="dxa"/>
            <w:tcMar>
              <w:left w:w="58" w:type="dxa"/>
              <w:right w:w="58" w:type="dxa"/>
            </w:tcMar>
          </w:tcPr>
          <w:p w14:paraId="4EB53DEA" w14:textId="096D7E93"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614</w:t>
            </w:r>
          </w:p>
        </w:tc>
        <w:tc>
          <w:tcPr>
            <w:tcW w:w="856" w:type="dxa"/>
            <w:tcMar>
              <w:left w:w="58" w:type="dxa"/>
              <w:right w:w="58" w:type="dxa"/>
            </w:tcMar>
          </w:tcPr>
          <w:p w14:paraId="1A1519B2" w14:textId="6079A5F9"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568</w:t>
            </w:r>
          </w:p>
        </w:tc>
        <w:tc>
          <w:tcPr>
            <w:tcW w:w="1169" w:type="dxa"/>
          </w:tcPr>
          <w:p w14:paraId="3687736B" w14:textId="48A6C3B8"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10,415</w:t>
            </w:r>
          </w:p>
        </w:tc>
        <w:tc>
          <w:tcPr>
            <w:tcW w:w="989" w:type="dxa"/>
          </w:tcPr>
          <w:p w14:paraId="05639ABA" w14:textId="6EFF3030"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6,083</w:t>
            </w:r>
          </w:p>
        </w:tc>
        <w:tc>
          <w:tcPr>
            <w:tcW w:w="900" w:type="dxa"/>
          </w:tcPr>
          <w:p w14:paraId="593396A7" w14:textId="5F036F5A"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16,980</w:t>
            </w:r>
          </w:p>
        </w:tc>
      </w:tr>
      <w:tr w:rsidR="00F75D9A" w:rsidRPr="00381DAD" w14:paraId="6A8E1F41" w14:textId="77777777" w:rsidTr="00A61A4B">
        <w:trPr>
          <w:jc w:val="center"/>
        </w:trPr>
        <w:tc>
          <w:tcPr>
            <w:tcW w:w="3690" w:type="dxa"/>
            <w:vAlign w:val="center"/>
          </w:tcPr>
          <w:p w14:paraId="2319139B" w14:textId="77777777" w:rsidR="00F75D9A" w:rsidRPr="00F047E1" w:rsidRDefault="00F75D9A" w:rsidP="00F75D9A">
            <w:pPr>
              <w:rPr>
                <w:rFonts w:ascii="Calibri" w:hAnsi="Calibri" w:cs="Calibri"/>
                <w:b/>
                <w:bCs/>
                <w:color w:val="000000"/>
                <w:sz w:val="20"/>
                <w:szCs w:val="20"/>
              </w:rPr>
            </w:pPr>
            <w:r w:rsidRPr="00F047E1">
              <w:rPr>
                <w:rFonts w:ascii="Calibri" w:hAnsi="Calibri" w:cs="Calibri"/>
                <w:b/>
                <w:bCs/>
                <w:sz w:val="20"/>
                <w:szCs w:val="20"/>
              </w:rPr>
              <w:t>Total Adults Unemployed</w:t>
            </w:r>
          </w:p>
        </w:tc>
        <w:tc>
          <w:tcPr>
            <w:tcW w:w="900" w:type="dxa"/>
            <w:tcMar>
              <w:left w:w="58" w:type="dxa"/>
              <w:right w:w="58" w:type="dxa"/>
            </w:tcMar>
          </w:tcPr>
          <w:p w14:paraId="1411D47D" w14:textId="0AF01E56" w:rsidR="00F75D9A" w:rsidRPr="009B5509" w:rsidRDefault="00F75D9A" w:rsidP="00F75D9A">
            <w:pPr>
              <w:jc w:val="center"/>
              <w:rPr>
                <w:rFonts w:asciiTheme="minorHAnsi" w:hAnsiTheme="minorHAnsi" w:cstheme="minorHAnsi"/>
                <w:b/>
                <w:sz w:val="20"/>
                <w:szCs w:val="20"/>
              </w:rPr>
            </w:pPr>
            <w:r w:rsidRPr="009B5509">
              <w:rPr>
                <w:rFonts w:asciiTheme="minorHAnsi" w:hAnsiTheme="minorHAnsi" w:cstheme="minorHAnsi"/>
                <w:sz w:val="20"/>
                <w:szCs w:val="20"/>
              </w:rPr>
              <w:t>68,598</w:t>
            </w:r>
          </w:p>
        </w:tc>
        <w:tc>
          <w:tcPr>
            <w:tcW w:w="856" w:type="dxa"/>
            <w:tcMar>
              <w:left w:w="58" w:type="dxa"/>
              <w:right w:w="58" w:type="dxa"/>
            </w:tcMar>
          </w:tcPr>
          <w:p w14:paraId="0B117536" w14:textId="1840D9CC" w:rsidR="00F75D9A" w:rsidRPr="009B5509" w:rsidRDefault="00F75D9A" w:rsidP="00F75D9A">
            <w:pPr>
              <w:jc w:val="center"/>
              <w:rPr>
                <w:rFonts w:asciiTheme="minorHAnsi" w:hAnsiTheme="minorHAnsi" w:cstheme="minorHAnsi"/>
                <w:b/>
                <w:sz w:val="20"/>
                <w:szCs w:val="20"/>
              </w:rPr>
            </w:pPr>
            <w:r w:rsidRPr="009B5509">
              <w:rPr>
                <w:rFonts w:asciiTheme="minorHAnsi" w:hAnsiTheme="minorHAnsi" w:cstheme="minorHAnsi"/>
                <w:sz w:val="20"/>
                <w:szCs w:val="20"/>
              </w:rPr>
              <w:t>16,885</w:t>
            </w:r>
          </w:p>
        </w:tc>
        <w:tc>
          <w:tcPr>
            <w:tcW w:w="856" w:type="dxa"/>
            <w:tcMar>
              <w:left w:w="58" w:type="dxa"/>
              <w:right w:w="58" w:type="dxa"/>
            </w:tcMar>
          </w:tcPr>
          <w:p w14:paraId="37CA5C21" w14:textId="1F3A3CF2" w:rsidR="00F75D9A" w:rsidRPr="009B5509" w:rsidRDefault="00F75D9A" w:rsidP="00F75D9A">
            <w:pPr>
              <w:jc w:val="center"/>
              <w:rPr>
                <w:rFonts w:asciiTheme="minorHAnsi" w:hAnsiTheme="minorHAnsi" w:cstheme="minorHAnsi"/>
                <w:b/>
                <w:sz w:val="20"/>
                <w:szCs w:val="20"/>
              </w:rPr>
            </w:pPr>
            <w:r w:rsidRPr="009B5509">
              <w:rPr>
                <w:rFonts w:asciiTheme="minorHAnsi" w:hAnsiTheme="minorHAnsi" w:cstheme="minorHAnsi"/>
                <w:sz w:val="20"/>
                <w:szCs w:val="20"/>
              </w:rPr>
              <w:t>15,167</w:t>
            </w:r>
          </w:p>
        </w:tc>
        <w:tc>
          <w:tcPr>
            <w:tcW w:w="1169" w:type="dxa"/>
          </w:tcPr>
          <w:p w14:paraId="693D2AB6" w14:textId="40AF46C1" w:rsidR="00F75D9A" w:rsidRPr="009B5509" w:rsidRDefault="00F75D9A" w:rsidP="00F75D9A">
            <w:pPr>
              <w:jc w:val="center"/>
              <w:rPr>
                <w:rFonts w:asciiTheme="minorHAnsi" w:hAnsiTheme="minorHAnsi" w:cstheme="minorHAnsi"/>
                <w:b/>
                <w:sz w:val="20"/>
                <w:szCs w:val="20"/>
              </w:rPr>
            </w:pPr>
            <w:r w:rsidRPr="009B5509">
              <w:rPr>
                <w:rFonts w:asciiTheme="minorHAnsi" w:hAnsiTheme="minorHAnsi" w:cstheme="minorHAnsi"/>
                <w:sz w:val="20"/>
                <w:szCs w:val="20"/>
              </w:rPr>
              <w:t>3,5701</w:t>
            </w:r>
          </w:p>
        </w:tc>
        <w:tc>
          <w:tcPr>
            <w:tcW w:w="989" w:type="dxa"/>
          </w:tcPr>
          <w:p w14:paraId="6A9C8851" w14:textId="4FEDC083" w:rsidR="00F75D9A" w:rsidRPr="009B5509" w:rsidRDefault="00F75D9A" w:rsidP="00F75D9A">
            <w:pPr>
              <w:jc w:val="center"/>
              <w:rPr>
                <w:rFonts w:asciiTheme="minorHAnsi" w:hAnsiTheme="minorHAnsi" w:cstheme="minorHAnsi"/>
                <w:b/>
                <w:sz w:val="20"/>
                <w:szCs w:val="20"/>
              </w:rPr>
            </w:pPr>
            <w:r w:rsidRPr="009B5509">
              <w:rPr>
                <w:rFonts w:asciiTheme="minorHAnsi" w:hAnsiTheme="minorHAnsi" w:cstheme="minorHAnsi"/>
                <w:sz w:val="20"/>
                <w:szCs w:val="20"/>
              </w:rPr>
              <w:t>49,623</w:t>
            </w:r>
          </w:p>
        </w:tc>
        <w:tc>
          <w:tcPr>
            <w:tcW w:w="900" w:type="dxa"/>
          </w:tcPr>
          <w:p w14:paraId="12268377" w14:textId="21D3A856" w:rsidR="00F75D9A" w:rsidRPr="009B5509" w:rsidRDefault="00F75D9A" w:rsidP="00F75D9A">
            <w:pPr>
              <w:jc w:val="center"/>
              <w:rPr>
                <w:rFonts w:asciiTheme="minorHAnsi" w:hAnsiTheme="minorHAnsi" w:cstheme="minorHAnsi"/>
                <w:b/>
                <w:sz w:val="20"/>
                <w:szCs w:val="20"/>
              </w:rPr>
            </w:pPr>
            <w:r w:rsidRPr="009B5509">
              <w:rPr>
                <w:rFonts w:asciiTheme="minorHAnsi" w:hAnsiTheme="minorHAnsi" w:cstheme="minorHAnsi"/>
                <w:sz w:val="20"/>
                <w:szCs w:val="20"/>
              </w:rPr>
              <w:t>124,640</w:t>
            </w:r>
          </w:p>
        </w:tc>
      </w:tr>
    </w:tbl>
    <w:p w14:paraId="6951F533" w14:textId="77777777" w:rsidR="003F400A" w:rsidRPr="009E4F66" w:rsidRDefault="003F400A" w:rsidP="00F46923">
      <w:pPr>
        <w:spacing w:before="120"/>
        <w:ind w:left="144" w:hanging="144"/>
        <w:rPr>
          <w:i/>
          <w:sz w:val="18"/>
          <w:szCs w:val="18"/>
        </w:rPr>
      </w:pPr>
      <w:r w:rsidRPr="009E4F66">
        <w:rPr>
          <w:b/>
          <w:i/>
          <w:sz w:val="18"/>
          <w:szCs w:val="18"/>
          <w:vertAlign w:val="superscript"/>
        </w:rPr>
        <w:t>1</w:t>
      </w:r>
      <w:r w:rsidRPr="009E4F66">
        <w:rPr>
          <w:i/>
          <w:sz w:val="18"/>
          <w:szCs w:val="18"/>
        </w:rPr>
        <w:t xml:space="preserve"> Figures in this column are smaller than the totals of the numbers in the preceding columns for each row because some individuals received services in more than one program area.</w:t>
      </w:r>
    </w:p>
    <w:p w14:paraId="083897A6" w14:textId="328AED87" w:rsidR="003F400A" w:rsidRPr="00D23FB9" w:rsidRDefault="003F400A" w:rsidP="00F46923">
      <w:pPr>
        <w:spacing w:before="180"/>
      </w:pPr>
      <w:r w:rsidRPr="00D23FB9">
        <w:t xml:space="preserve">Figure </w:t>
      </w:r>
      <w:r w:rsidR="007E5D0B">
        <w:t>9</w:t>
      </w:r>
      <w:r w:rsidRPr="00D23FB9">
        <w:t xml:space="preserve">, below, shows the total unduplicated number of individuals with military status who received CSB mental health, </w:t>
      </w:r>
      <w:r w:rsidR="00A848C5">
        <w:t>DD</w:t>
      </w:r>
      <w:r w:rsidRPr="00D23FB9">
        <w:t xml:space="preserve"> or substance use disorder services. </w:t>
      </w:r>
      <w:r w:rsidRPr="00D23FB9">
        <w:br/>
      </w:r>
    </w:p>
    <w:tbl>
      <w:tblPr>
        <w:tblW w:w="79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9" w:type="dxa"/>
          <w:right w:w="29" w:type="dxa"/>
        </w:tblCellMar>
        <w:tblLook w:val="00A0" w:firstRow="1" w:lastRow="0" w:firstColumn="1" w:lastColumn="0" w:noHBand="0" w:noVBand="0"/>
      </w:tblPr>
      <w:tblGrid>
        <w:gridCol w:w="6666"/>
        <w:gridCol w:w="1249"/>
      </w:tblGrid>
      <w:tr w:rsidR="003F400A" w:rsidRPr="009B5509" w14:paraId="6E78F840" w14:textId="77777777" w:rsidTr="00A61A4B">
        <w:trPr>
          <w:jc w:val="center"/>
        </w:trPr>
        <w:tc>
          <w:tcPr>
            <w:tcW w:w="7915" w:type="dxa"/>
            <w:gridSpan w:val="2"/>
            <w:tcMar>
              <w:left w:w="14" w:type="dxa"/>
              <w:right w:w="14" w:type="dxa"/>
            </w:tcMar>
            <w:vAlign w:val="center"/>
          </w:tcPr>
          <w:p w14:paraId="7E1E60EA" w14:textId="18E0AF11" w:rsidR="003F400A" w:rsidRPr="009B5509" w:rsidRDefault="003F400A" w:rsidP="00F46923">
            <w:pPr>
              <w:autoSpaceDE w:val="0"/>
              <w:autoSpaceDN w:val="0"/>
              <w:adjustRightInd w:val="0"/>
              <w:jc w:val="center"/>
              <w:rPr>
                <w:rFonts w:ascii="Calibri" w:hAnsi="Calibri" w:cs="Calibri"/>
                <w:b/>
                <w:color w:val="365F91" w:themeColor="accent1" w:themeShade="BF"/>
                <w:sz w:val="20"/>
                <w:szCs w:val="20"/>
              </w:rPr>
            </w:pPr>
            <w:r w:rsidRPr="009B5509">
              <w:rPr>
                <w:rFonts w:ascii="Calibri" w:hAnsi="Calibri" w:cs="Calibri"/>
                <w:b/>
                <w:color w:val="365F91" w:themeColor="accent1" w:themeShade="BF"/>
                <w:sz w:val="20"/>
                <w:szCs w:val="20"/>
              </w:rPr>
              <w:t xml:space="preserve">Figure </w:t>
            </w:r>
            <w:r w:rsidR="007E5D0B" w:rsidRPr="009B5509">
              <w:rPr>
                <w:rFonts w:ascii="Calibri" w:hAnsi="Calibri" w:cs="Calibri"/>
                <w:b/>
                <w:color w:val="365F91" w:themeColor="accent1" w:themeShade="BF"/>
                <w:sz w:val="20"/>
                <w:szCs w:val="20"/>
              </w:rPr>
              <w:t>9</w:t>
            </w:r>
            <w:r w:rsidRPr="009B5509">
              <w:rPr>
                <w:rFonts w:ascii="Calibri" w:hAnsi="Calibri" w:cs="Calibri"/>
                <w:b/>
                <w:color w:val="365F91" w:themeColor="accent1" w:themeShade="BF"/>
                <w:sz w:val="20"/>
                <w:szCs w:val="20"/>
              </w:rPr>
              <w:t>: Military Individuals Receiving CSB Services in FY 202</w:t>
            </w:r>
            <w:r w:rsidR="004023E5" w:rsidRPr="009B5509">
              <w:rPr>
                <w:rFonts w:ascii="Calibri" w:hAnsi="Calibri" w:cs="Calibri"/>
                <w:b/>
                <w:color w:val="365F91" w:themeColor="accent1" w:themeShade="BF"/>
                <w:sz w:val="20"/>
                <w:szCs w:val="20"/>
              </w:rPr>
              <w:t>2</w:t>
            </w:r>
          </w:p>
        </w:tc>
      </w:tr>
      <w:tr w:rsidR="00DD1368" w:rsidRPr="009B5509" w14:paraId="1354FF30" w14:textId="77777777" w:rsidTr="00A61A4B">
        <w:trPr>
          <w:jc w:val="center"/>
        </w:trPr>
        <w:tc>
          <w:tcPr>
            <w:tcW w:w="6666" w:type="dxa"/>
            <w:vAlign w:val="center"/>
          </w:tcPr>
          <w:p w14:paraId="2C7FC490" w14:textId="77777777" w:rsidR="00DD1368" w:rsidRPr="009B5509" w:rsidRDefault="00DD1368" w:rsidP="00DD1368">
            <w:pPr>
              <w:rPr>
                <w:rFonts w:ascii="Calibri" w:hAnsi="Calibri" w:cs="Calibri"/>
                <w:bCs/>
                <w:color w:val="000000"/>
                <w:sz w:val="20"/>
                <w:szCs w:val="20"/>
              </w:rPr>
            </w:pPr>
            <w:r w:rsidRPr="009B5509">
              <w:rPr>
                <w:rFonts w:ascii="Calibri" w:hAnsi="Calibri" w:cs="Calibri"/>
                <w:bCs/>
                <w:color w:val="000000"/>
                <w:sz w:val="20"/>
                <w:szCs w:val="20"/>
              </w:rPr>
              <w:t>Armed Forces on Active Duty</w:t>
            </w:r>
          </w:p>
        </w:tc>
        <w:tc>
          <w:tcPr>
            <w:tcW w:w="1249" w:type="dxa"/>
            <w:tcMar>
              <w:right w:w="58" w:type="dxa"/>
            </w:tcMar>
          </w:tcPr>
          <w:p w14:paraId="3CA4A4D9" w14:textId="08396365"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 xml:space="preserve"> 390 </w:t>
            </w:r>
          </w:p>
        </w:tc>
      </w:tr>
      <w:tr w:rsidR="00DD1368" w:rsidRPr="009B5509" w14:paraId="4EF8AAD2" w14:textId="77777777" w:rsidTr="00A61A4B">
        <w:trPr>
          <w:jc w:val="center"/>
        </w:trPr>
        <w:tc>
          <w:tcPr>
            <w:tcW w:w="6666" w:type="dxa"/>
            <w:vAlign w:val="center"/>
          </w:tcPr>
          <w:p w14:paraId="3ECE8C8F" w14:textId="77777777" w:rsidR="00DD1368" w:rsidRPr="009B5509" w:rsidRDefault="00DD1368" w:rsidP="00DD1368">
            <w:pPr>
              <w:rPr>
                <w:rFonts w:ascii="Calibri" w:hAnsi="Calibri" w:cs="Calibri"/>
                <w:bCs/>
                <w:color w:val="000000"/>
                <w:sz w:val="20"/>
                <w:szCs w:val="20"/>
              </w:rPr>
            </w:pPr>
            <w:r w:rsidRPr="009B5509">
              <w:rPr>
                <w:rFonts w:ascii="Calibri" w:hAnsi="Calibri" w:cs="Calibri"/>
                <w:bCs/>
                <w:color w:val="000000"/>
                <w:sz w:val="20"/>
                <w:szCs w:val="20"/>
              </w:rPr>
              <w:t>Armed Forces Reserve</w:t>
            </w:r>
          </w:p>
        </w:tc>
        <w:tc>
          <w:tcPr>
            <w:tcW w:w="1249" w:type="dxa"/>
            <w:tcMar>
              <w:right w:w="58" w:type="dxa"/>
            </w:tcMar>
          </w:tcPr>
          <w:p w14:paraId="14F325AA" w14:textId="462AFB84"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 xml:space="preserve"> 141 </w:t>
            </w:r>
          </w:p>
        </w:tc>
      </w:tr>
      <w:tr w:rsidR="00DD1368" w:rsidRPr="009B5509" w14:paraId="022FD4D7" w14:textId="77777777" w:rsidTr="00A61A4B">
        <w:trPr>
          <w:jc w:val="center"/>
        </w:trPr>
        <w:tc>
          <w:tcPr>
            <w:tcW w:w="6666" w:type="dxa"/>
            <w:vAlign w:val="center"/>
          </w:tcPr>
          <w:p w14:paraId="34BE1FBE" w14:textId="77777777" w:rsidR="00DD1368" w:rsidRPr="009B5509" w:rsidRDefault="00DD1368" w:rsidP="00DD1368">
            <w:pPr>
              <w:rPr>
                <w:rFonts w:ascii="Calibri" w:hAnsi="Calibri" w:cs="Calibri"/>
                <w:bCs/>
                <w:color w:val="000000"/>
                <w:sz w:val="20"/>
                <w:szCs w:val="20"/>
              </w:rPr>
            </w:pPr>
            <w:r w:rsidRPr="009B5509">
              <w:rPr>
                <w:rFonts w:ascii="Calibri" w:hAnsi="Calibri" w:cs="Calibri"/>
                <w:bCs/>
                <w:color w:val="000000"/>
                <w:sz w:val="20"/>
                <w:szCs w:val="20"/>
              </w:rPr>
              <w:t>National Guard</w:t>
            </w:r>
          </w:p>
        </w:tc>
        <w:tc>
          <w:tcPr>
            <w:tcW w:w="1249" w:type="dxa"/>
            <w:tcMar>
              <w:right w:w="58" w:type="dxa"/>
            </w:tcMar>
          </w:tcPr>
          <w:p w14:paraId="7CD4939C" w14:textId="67F3B6A8"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 xml:space="preserve"> 167 </w:t>
            </w:r>
          </w:p>
        </w:tc>
      </w:tr>
      <w:tr w:rsidR="00DD1368" w:rsidRPr="009B5509" w14:paraId="2D756D0D" w14:textId="77777777" w:rsidTr="00A61A4B">
        <w:trPr>
          <w:jc w:val="center"/>
        </w:trPr>
        <w:tc>
          <w:tcPr>
            <w:tcW w:w="6666" w:type="dxa"/>
            <w:vAlign w:val="center"/>
          </w:tcPr>
          <w:p w14:paraId="0004F7AD" w14:textId="77777777" w:rsidR="00DD1368" w:rsidRPr="009B5509" w:rsidRDefault="00DD1368" w:rsidP="00DD1368">
            <w:pPr>
              <w:rPr>
                <w:rFonts w:ascii="Calibri" w:hAnsi="Calibri" w:cs="Calibri"/>
                <w:bCs/>
                <w:color w:val="000000"/>
                <w:sz w:val="20"/>
                <w:szCs w:val="20"/>
              </w:rPr>
            </w:pPr>
            <w:r w:rsidRPr="009B5509">
              <w:rPr>
                <w:rFonts w:ascii="Calibri" w:hAnsi="Calibri" w:cs="Calibri"/>
                <w:bCs/>
                <w:color w:val="000000"/>
                <w:sz w:val="20"/>
                <w:szCs w:val="20"/>
              </w:rPr>
              <w:t>Armed Forces or National Guard Retired</w:t>
            </w:r>
          </w:p>
        </w:tc>
        <w:tc>
          <w:tcPr>
            <w:tcW w:w="1249" w:type="dxa"/>
            <w:tcMar>
              <w:right w:w="58" w:type="dxa"/>
            </w:tcMar>
          </w:tcPr>
          <w:p w14:paraId="599E6AD6" w14:textId="7318CAFE"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 xml:space="preserve"> 606 </w:t>
            </w:r>
          </w:p>
        </w:tc>
      </w:tr>
      <w:tr w:rsidR="00DD1368" w:rsidRPr="009B5509" w14:paraId="235D2691" w14:textId="77777777" w:rsidTr="00A61A4B">
        <w:trPr>
          <w:jc w:val="center"/>
        </w:trPr>
        <w:tc>
          <w:tcPr>
            <w:tcW w:w="6666" w:type="dxa"/>
            <w:vAlign w:val="center"/>
          </w:tcPr>
          <w:p w14:paraId="0CE56890" w14:textId="77777777" w:rsidR="00DD1368" w:rsidRPr="009B5509" w:rsidRDefault="00DD1368" w:rsidP="00DD1368">
            <w:pPr>
              <w:rPr>
                <w:rFonts w:ascii="Calibri" w:hAnsi="Calibri" w:cs="Calibri"/>
                <w:bCs/>
                <w:color w:val="000000"/>
                <w:sz w:val="20"/>
                <w:szCs w:val="20"/>
              </w:rPr>
            </w:pPr>
            <w:r w:rsidRPr="009B5509">
              <w:rPr>
                <w:rFonts w:ascii="Calibri" w:hAnsi="Calibri" w:cs="Calibri"/>
                <w:bCs/>
                <w:color w:val="000000"/>
                <w:sz w:val="20"/>
                <w:szCs w:val="20"/>
              </w:rPr>
              <w:t>Armed Forces or National Guard Discharged</w:t>
            </w:r>
          </w:p>
        </w:tc>
        <w:tc>
          <w:tcPr>
            <w:tcW w:w="1249" w:type="dxa"/>
            <w:tcMar>
              <w:right w:w="58" w:type="dxa"/>
            </w:tcMar>
          </w:tcPr>
          <w:p w14:paraId="57E911CF" w14:textId="6E65F4F3"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 xml:space="preserve"> 2,373 </w:t>
            </w:r>
          </w:p>
        </w:tc>
      </w:tr>
      <w:tr w:rsidR="00DD1368" w:rsidRPr="009B5509" w14:paraId="2C2B2F94" w14:textId="77777777" w:rsidTr="00A61A4B">
        <w:trPr>
          <w:jc w:val="center"/>
        </w:trPr>
        <w:tc>
          <w:tcPr>
            <w:tcW w:w="6666" w:type="dxa"/>
            <w:vAlign w:val="center"/>
          </w:tcPr>
          <w:p w14:paraId="479D3F86" w14:textId="77777777" w:rsidR="00DD1368" w:rsidRPr="009B5509" w:rsidRDefault="00DD1368" w:rsidP="00DD1368">
            <w:pPr>
              <w:rPr>
                <w:rFonts w:ascii="Calibri" w:hAnsi="Calibri" w:cs="Calibri"/>
                <w:bCs/>
                <w:color w:val="000000"/>
                <w:sz w:val="20"/>
                <w:szCs w:val="20"/>
              </w:rPr>
            </w:pPr>
            <w:r w:rsidRPr="009B5509">
              <w:rPr>
                <w:rFonts w:ascii="Calibri" w:hAnsi="Calibri" w:cs="Calibri"/>
                <w:bCs/>
                <w:color w:val="000000"/>
                <w:sz w:val="20"/>
                <w:szCs w:val="20"/>
              </w:rPr>
              <w:t>Armed Forces or National Guard Dependent Family Member</w:t>
            </w:r>
          </w:p>
        </w:tc>
        <w:tc>
          <w:tcPr>
            <w:tcW w:w="1249" w:type="dxa"/>
            <w:tcMar>
              <w:right w:w="58" w:type="dxa"/>
            </w:tcMar>
          </w:tcPr>
          <w:p w14:paraId="769AD004" w14:textId="4FB4C53A"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 xml:space="preserve"> 1,726 </w:t>
            </w:r>
          </w:p>
        </w:tc>
      </w:tr>
      <w:tr w:rsidR="00DD1368" w:rsidRPr="009B5509" w14:paraId="0221DFAF" w14:textId="77777777" w:rsidTr="00A61A4B">
        <w:trPr>
          <w:jc w:val="center"/>
        </w:trPr>
        <w:tc>
          <w:tcPr>
            <w:tcW w:w="6666" w:type="dxa"/>
            <w:vAlign w:val="center"/>
          </w:tcPr>
          <w:p w14:paraId="0FCCF9A4" w14:textId="77777777" w:rsidR="00DD1368" w:rsidRPr="009B5509" w:rsidRDefault="00DD1368" w:rsidP="00DD1368">
            <w:pPr>
              <w:rPr>
                <w:rFonts w:ascii="Calibri" w:hAnsi="Calibri" w:cs="Calibri"/>
                <w:bCs/>
                <w:color w:val="000000"/>
                <w:sz w:val="20"/>
                <w:szCs w:val="20"/>
              </w:rPr>
            </w:pPr>
            <w:r w:rsidRPr="009B5509">
              <w:rPr>
                <w:rFonts w:ascii="Calibri" w:hAnsi="Calibri" w:cs="Calibri"/>
                <w:bCs/>
                <w:color w:val="000000"/>
                <w:sz w:val="20"/>
                <w:szCs w:val="20"/>
              </w:rPr>
              <w:t>Not Applicable</w:t>
            </w:r>
          </w:p>
        </w:tc>
        <w:tc>
          <w:tcPr>
            <w:tcW w:w="1249" w:type="dxa"/>
            <w:tcMar>
              <w:right w:w="58" w:type="dxa"/>
            </w:tcMar>
          </w:tcPr>
          <w:p w14:paraId="4591B6E2" w14:textId="2BD594B0"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 xml:space="preserve"> 142,191 </w:t>
            </w:r>
          </w:p>
        </w:tc>
      </w:tr>
      <w:tr w:rsidR="00DD1368" w:rsidRPr="009B5509" w14:paraId="1E5E82AC" w14:textId="77777777" w:rsidTr="00A61A4B">
        <w:trPr>
          <w:jc w:val="center"/>
        </w:trPr>
        <w:tc>
          <w:tcPr>
            <w:tcW w:w="6666" w:type="dxa"/>
            <w:vAlign w:val="center"/>
          </w:tcPr>
          <w:p w14:paraId="688EFF68" w14:textId="77777777" w:rsidR="00DD1368" w:rsidRPr="009B5509" w:rsidRDefault="00DD1368" w:rsidP="00DD1368">
            <w:pPr>
              <w:rPr>
                <w:rFonts w:ascii="Calibri" w:hAnsi="Calibri" w:cs="Calibri"/>
                <w:bCs/>
                <w:color w:val="000000"/>
                <w:sz w:val="20"/>
                <w:szCs w:val="20"/>
              </w:rPr>
            </w:pPr>
            <w:r w:rsidRPr="009B5509">
              <w:rPr>
                <w:rFonts w:ascii="Calibri" w:hAnsi="Calibri" w:cs="Calibri"/>
                <w:bCs/>
                <w:color w:val="000000"/>
                <w:sz w:val="20"/>
                <w:szCs w:val="20"/>
              </w:rPr>
              <w:t>Unknown</w:t>
            </w:r>
          </w:p>
        </w:tc>
        <w:tc>
          <w:tcPr>
            <w:tcW w:w="1249" w:type="dxa"/>
            <w:tcMar>
              <w:right w:w="58" w:type="dxa"/>
            </w:tcMar>
          </w:tcPr>
          <w:p w14:paraId="50E939E2" w14:textId="4B2CA2A2"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 xml:space="preserve"> 1,716 </w:t>
            </w:r>
          </w:p>
        </w:tc>
      </w:tr>
      <w:tr w:rsidR="00DD1368" w:rsidRPr="009B5509" w14:paraId="06377F1D" w14:textId="77777777" w:rsidTr="00A61A4B">
        <w:trPr>
          <w:jc w:val="center"/>
        </w:trPr>
        <w:tc>
          <w:tcPr>
            <w:tcW w:w="6666" w:type="dxa"/>
            <w:vAlign w:val="center"/>
          </w:tcPr>
          <w:p w14:paraId="2AC7C5B8" w14:textId="77777777" w:rsidR="00DD1368" w:rsidRPr="009B5509" w:rsidRDefault="00DD1368" w:rsidP="00DD1368">
            <w:pPr>
              <w:rPr>
                <w:rFonts w:ascii="Calibri" w:hAnsi="Calibri" w:cs="Calibri"/>
                <w:bCs/>
                <w:color w:val="000000"/>
                <w:sz w:val="20"/>
                <w:szCs w:val="20"/>
              </w:rPr>
            </w:pPr>
            <w:r w:rsidRPr="009B5509">
              <w:rPr>
                <w:rFonts w:ascii="Calibri" w:hAnsi="Calibri" w:cs="Calibri"/>
                <w:bCs/>
                <w:color w:val="000000"/>
                <w:sz w:val="20"/>
                <w:szCs w:val="20"/>
              </w:rPr>
              <w:t>Not Collected</w:t>
            </w:r>
          </w:p>
        </w:tc>
        <w:tc>
          <w:tcPr>
            <w:tcW w:w="1249" w:type="dxa"/>
            <w:tcMar>
              <w:right w:w="58" w:type="dxa"/>
            </w:tcMar>
          </w:tcPr>
          <w:p w14:paraId="4CF8F763" w14:textId="554DA456"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 xml:space="preserve"> 9,322 </w:t>
            </w:r>
          </w:p>
        </w:tc>
      </w:tr>
      <w:tr w:rsidR="003F400A" w:rsidRPr="009B5509" w14:paraId="6E462892" w14:textId="77777777" w:rsidTr="00A61A4B">
        <w:trPr>
          <w:jc w:val="center"/>
        </w:trPr>
        <w:tc>
          <w:tcPr>
            <w:tcW w:w="6666" w:type="dxa"/>
            <w:shd w:val="clear" w:color="auto" w:fill="365F91" w:themeFill="accent1" w:themeFillShade="BF"/>
            <w:vAlign w:val="center"/>
          </w:tcPr>
          <w:p w14:paraId="1A142F77" w14:textId="77777777" w:rsidR="003F400A" w:rsidRPr="009B5509" w:rsidRDefault="003F400A" w:rsidP="00F46923">
            <w:pPr>
              <w:rPr>
                <w:rFonts w:ascii="Calibri" w:hAnsi="Calibri" w:cs="Calibri"/>
                <w:b/>
                <w:bCs/>
                <w:color w:val="FFFFFF" w:themeColor="background1"/>
                <w:sz w:val="20"/>
                <w:szCs w:val="20"/>
              </w:rPr>
            </w:pPr>
            <w:r w:rsidRPr="009B5509">
              <w:rPr>
                <w:rFonts w:ascii="Calibri" w:hAnsi="Calibri" w:cs="Calibri"/>
                <w:b/>
                <w:bCs/>
                <w:color w:val="FFFFFF" w:themeColor="background1"/>
                <w:sz w:val="20"/>
                <w:szCs w:val="20"/>
              </w:rPr>
              <w:t>Total Unduplicated Military Individuals Receiving CSB Services</w:t>
            </w:r>
          </w:p>
        </w:tc>
        <w:tc>
          <w:tcPr>
            <w:tcW w:w="1249" w:type="dxa"/>
            <w:shd w:val="clear" w:color="auto" w:fill="365F91" w:themeFill="accent1" w:themeFillShade="BF"/>
            <w:tcMar>
              <w:right w:w="58" w:type="dxa"/>
            </w:tcMar>
          </w:tcPr>
          <w:p w14:paraId="136D96FD" w14:textId="2A5A164E" w:rsidR="003F400A" w:rsidRPr="009B5509" w:rsidRDefault="00DD1368" w:rsidP="00F46923">
            <w:pPr>
              <w:jc w:val="center"/>
              <w:rPr>
                <w:rFonts w:ascii="Calibri" w:hAnsi="Calibri" w:cs="Calibri"/>
                <w:b/>
                <w:color w:val="FFFFFF" w:themeColor="background1"/>
                <w:sz w:val="20"/>
                <w:szCs w:val="20"/>
              </w:rPr>
            </w:pPr>
            <w:r w:rsidRPr="009B5509">
              <w:rPr>
                <w:rFonts w:ascii="Calibri" w:hAnsi="Calibri" w:cs="Calibri"/>
                <w:b/>
                <w:color w:val="FFFFFF" w:themeColor="background1"/>
                <w:sz w:val="20"/>
                <w:szCs w:val="20"/>
              </w:rPr>
              <w:t>154,794</w:t>
            </w:r>
          </w:p>
        </w:tc>
      </w:tr>
    </w:tbl>
    <w:p w14:paraId="148F5FE1" w14:textId="77777777" w:rsidR="003F400A" w:rsidRPr="009B5509" w:rsidRDefault="003F400A" w:rsidP="00F46923">
      <w:pPr>
        <w:autoSpaceDE w:val="0"/>
        <w:autoSpaceDN w:val="0"/>
        <w:adjustRightInd w:val="0"/>
      </w:pPr>
    </w:p>
    <w:p w14:paraId="03D4B9B5" w14:textId="696C0493" w:rsidR="00381DAD" w:rsidRPr="009B5509" w:rsidRDefault="003F400A" w:rsidP="00F46923">
      <w:pPr>
        <w:autoSpaceDE w:val="0"/>
        <w:autoSpaceDN w:val="0"/>
        <w:adjustRightInd w:val="0"/>
      </w:pPr>
      <w:r w:rsidRPr="009B5509">
        <w:t xml:space="preserve">Figure </w:t>
      </w:r>
      <w:r w:rsidR="007E5D0B" w:rsidRPr="009B5509">
        <w:t>10</w:t>
      </w:r>
      <w:r w:rsidR="00554A5A" w:rsidRPr="009B5509">
        <w:t>, below, shows</w:t>
      </w:r>
      <w:r w:rsidRPr="009B5509">
        <w:t xml:space="preserve"> unduplicated individuals who received services in DBHDS-funded initiatives</w:t>
      </w:r>
      <w:r w:rsidR="004023E5" w:rsidRPr="009B5509">
        <w:t>.</w:t>
      </w:r>
    </w:p>
    <w:p w14:paraId="5B5DF182" w14:textId="5B8CB2F1" w:rsidR="003F400A" w:rsidRPr="009B5509" w:rsidRDefault="003F400A" w:rsidP="00F46923">
      <w:pPr>
        <w:autoSpaceDE w:val="0"/>
        <w:autoSpaceDN w:val="0"/>
        <w:adjustRightInd w:val="0"/>
      </w:pPr>
    </w:p>
    <w:tbl>
      <w:tblPr>
        <w:tblW w:w="773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9" w:type="dxa"/>
          <w:right w:w="29" w:type="dxa"/>
        </w:tblCellMar>
        <w:tblLook w:val="00A0" w:firstRow="1" w:lastRow="0" w:firstColumn="1" w:lastColumn="0" w:noHBand="0" w:noVBand="0"/>
      </w:tblPr>
      <w:tblGrid>
        <w:gridCol w:w="6666"/>
        <w:gridCol w:w="1069"/>
      </w:tblGrid>
      <w:tr w:rsidR="003F400A" w:rsidRPr="009B5509" w14:paraId="7D90A398" w14:textId="77777777" w:rsidTr="00990E2B">
        <w:trPr>
          <w:jc w:val="center"/>
        </w:trPr>
        <w:tc>
          <w:tcPr>
            <w:tcW w:w="7735" w:type="dxa"/>
            <w:gridSpan w:val="2"/>
            <w:tcMar>
              <w:left w:w="14" w:type="dxa"/>
              <w:right w:w="14" w:type="dxa"/>
            </w:tcMar>
            <w:vAlign w:val="center"/>
          </w:tcPr>
          <w:p w14:paraId="2D966440" w14:textId="2CD72BA7" w:rsidR="003F400A" w:rsidRPr="009B5509" w:rsidRDefault="003F400A" w:rsidP="00F46923">
            <w:pPr>
              <w:autoSpaceDE w:val="0"/>
              <w:autoSpaceDN w:val="0"/>
              <w:adjustRightInd w:val="0"/>
              <w:jc w:val="center"/>
              <w:rPr>
                <w:rFonts w:ascii="Calibri" w:hAnsi="Calibri" w:cs="Calibri"/>
                <w:b/>
                <w:color w:val="365F91" w:themeColor="accent1" w:themeShade="BF"/>
                <w:sz w:val="20"/>
                <w:szCs w:val="20"/>
              </w:rPr>
            </w:pPr>
            <w:r w:rsidRPr="009B5509">
              <w:rPr>
                <w:rFonts w:ascii="Calibri" w:hAnsi="Calibri" w:cs="Calibri"/>
                <w:b/>
                <w:color w:val="365F91" w:themeColor="accent1" w:themeShade="BF"/>
                <w:sz w:val="20"/>
                <w:szCs w:val="20"/>
              </w:rPr>
              <w:t xml:space="preserve">Figure </w:t>
            </w:r>
            <w:r w:rsidR="007E5D0B" w:rsidRPr="009B5509">
              <w:rPr>
                <w:rFonts w:ascii="Calibri" w:hAnsi="Calibri" w:cs="Calibri"/>
                <w:b/>
                <w:color w:val="365F91" w:themeColor="accent1" w:themeShade="BF"/>
                <w:sz w:val="20"/>
                <w:szCs w:val="20"/>
              </w:rPr>
              <w:t>10</w:t>
            </w:r>
            <w:r w:rsidRPr="009B5509">
              <w:rPr>
                <w:rFonts w:ascii="Calibri" w:hAnsi="Calibri" w:cs="Calibri"/>
                <w:b/>
                <w:color w:val="365F91" w:themeColor="accent1" w:themeShade="BF"/>
                <w:sz w:val="20"/>
                <w:szCs w:val="20"/>
              </w:rPr>
              <w:t>: Individuals Who Received Services in Specialized Initiatives in FY 202</w:t>
            </w:r>
            <w:r w:rsidR="004023E5" w:rsidRPr="009B5509">
              <w:rPr>
                <w:rFonts w:ascii="Calibri" w:hAnsi="Calibri" w:cs="Calibri"/>
                <w:b/>
                <w:color w:val="365F91" w:themeColor="accent1" w:themeShade="BF"/>
                <w:sz w:val="20"/>
                <w:szCs w:val="20"/>
              </w:rPr>
              <w:t>2</w:t>
            </w:r>
          </w:p>
        </w:tc>
      </w:tr>
      <w:tr w:rsidR="00F75D9A" w:rsidRPr="009B5509" w14:paraId="657149D1" w14:textId="77777777" w:rsidTr="00990E2B">
        <w:trPr>
          <w:jc w:val="center"/>
        </w:trPr>
        <w:tc>
          <w:tcPr>
            <w:tcW w:w="6666" w:type="dxa"/>
            <w:vAlign w:val="center"/>
          </w:tcPr>
          <w:p w14:paraId="149FD36E" w14:textId="77777777" w:rsidR="00F75D9A" w:rsidRPr="009B5509" w:rsidRDefault="00F75D9A" w:rsidP="00F75D9A">
            <w:pPr>
              <w:rPr>
                <w:rFonts w:ascii="Calibri" w:hAnsi="Calibri" w:cs="Calibri"/>
                <w:bCs/>
                <w:color w:val="000000"/>
                <w:sz w:val="20"/>
                <w:szCs w:val="20"/>
              </w:rPr>
            </w:pPr>
            <w:r w:rsidRPr="009B5509">
              <w:rPr>
                <w:rFonts w:ascii="Calibri" w:hAnsi="Calibri" w:cs="Calibri"/>
                <w:bCs/>
                <w:color w:val="000000"/>
                <w:sz w:val="20"/>
                <w:szCs w:val="20"/>
              </w:rPr>
              <w:t>Mental Health Mandatory Outpatient Treatment (MOT) Orders</w:t>
            </w:r>
          </w:p>
        </w:tc>
        <w:tc>
          <w:tcPr>
            <w:tcW w:w="1069" w:type="dxa"/>
            <w:tcMar>
              <w:right w:w="58" w:type="dxa"/>
            </w:tcMar>
          </w:tcPr>
          <w:p w14:paraId="527ECC52" w14:textId="634AC495" w:rsidR="00F75D9A" w:rsidRPr="009B5509" w:rsidRDefault="00F75D9A" w:rsidP="00F75D9A">
            <w:pPr>
              <w:autoSpaceDE w:val="0"/>
              <w:autoSpaceDN w:val="0"/>
              <w:adjustRightInd w:val="0"/>
              <w:jc w:val="center"/>
              <w:rPr>
                <w:rFonts w:asciiTheme="minorHAnsi" w:hAnsiTheme="minorHAnsi" w:cstheme="minorHAnsi"/>
                <w:sz w:val="20"/>
                <w:szCs w:val="20"/>
              </w:rPr>
            </w:pPr>
            <w:r w:rsidRPr="009B5509">
              <w:rPr>
                <w:rFonts w:asciiTheme="minorHAnsi" w:hAnsiTheme="minorHAnsi" w:cstheme="minorHAnsi"/>
                <w:sz w:val="20"/>
                <w:szCs w:val="20"/>
              </w:rPr>
              <w:t>246</w:t>
            </w:r>
          </w:p>
        </w:tc>
      </w:tr>
      <w:tr w:rsidR="00F75D9A" w:rsidRPr="009B5509" w14:paraId="0956DD53" w14:textId="77777777" w:rsidTr="00990E2B">
        <w:trPr>
          <w:jc w:val="center"/>
        </w:trPr>
        <w:tc>
          <w:tcPr>
            <w:tcW w:w="6666" w:type="dxa"/>
            <w:vAlign w:val="center"/>
          </w:tcPr>
          <w:p w14:paraId="4629C392" w14:textId="77777777" w:rsidR="00F75D9A" w:rsidRPr="009B5509" w:rsidRDefault="00F75D9A" w:rsidP="00F75D9A">
            <w:pPr>
              <w:rPr>
                <w:rFonts w:ascii="Calibri" w:hAnsi="Calibri" w:cs="Calibri"/>
                <w:bCs/>
                <w:color w:val="000000"/>
                <w:sz w:val="20"/>
                <w:szCs w:val="20"/>
              </w:rPr>
            </w:pPr>
            <w:r w:rsidRPr="009B5509">
              <w:rPr>
                <w:rFonts w:ascii="Calibri" w:hAnsi="Calibri" w:cs="Calibri"/>
                <w:bCs/>
                <w:color w:val="000000"/>
                <w:sz w:val="20"/>
                <w:szCs w:val="20"/>
              </w:rPr>
              <w:t>Discharge Assistance Program (DAP)</w:t>
            </w:r>
          </w:p>
        </w:tc>
        <w:tc>
          <w:tcPr>
            <w:tcW w:w="1069" w:type="dxa"/>
            <w:tcMar>
              <w:right w:w="58" w:type="dxa"/>
            </w:tcMar>
          </w:tcPr>
          <w:p w14:paraId="4B40A06A" w14:textId="6FF868A5" w:rsidR="00F75D9A" w:rsidRPr="009B5509" w:rsidRDefault="00F75D9A" w:rsidP="00F75D9A">
            <w:pPr>
              <w:autoSpaceDE w:val="0"/>
              <w:autoSpaceDN w:val="0"/>
              <w:adjustRightInd w:val="0"/>
              <w:jc w:val="center"/>
              <w:rPr>
                <w:rFonts w:asciiTheme="minorHAnsi" w:hAnsiTheme="minorHAnsi" w:cstheme="minorHAnsi"/>
                <w:sz w:val="20"/>
                <w:szCs w:val="20"/>
              </w:rPr>
            </w:pPr>
            <w:r w:rsidRPr="009B5509">
              <w:rPr>
                <w:rFonts w:asciiTheme="minorHAnsi" w:hAnsiTheme="minorHAnsi" w:cstheme="minorHAnsi"/>
                <w:sz w:val="20"/>
                <w:szCs w:val="20"/>
              </w:rPr>
              <w:t>1</w:t>
            </w:r>
            <w:r w:rsidR="00A848C5">
              <w:rPr>
                <w:rFonts w:asciiTheme="minorHAnsi" w:hAnsiTheme="minorHAnsi" w:cstheme="minorHAnsi"/>
                <w:sz w:val="20"/>
                <w:szCs w:val="20"/>
              </w:rPr>
              <w:t>,</w:t>
            </w:r>
            <w:r w:rsidRPr="009B5509">
              <w:rPr>
                <w:rFonts w:asciiTheme="minorHAnsi" w:hAnsiTheme="minorHAnsi" w:cstheme="minorHAnsi"/>
                <w:sz w:val="20"/>
                <w:szCs w:val="20"/>
              </w:rPr>
              <w:t>448</w:t>
            </w:r>
          </w:p>
        </w:tc>
      </w:tr>
      <w:tr w:rsidR="00F75D9A" w:rsidRPr="009B5509" w14:paraId="554023F9" w14:textId="77777777" w:rsidTr="00990E2B">
        <w:trPr>
          <w:jc w:val="center"/>
        </w:trPr>
        <w:tc>
          <w:tcPr>
            <w:tcW w:w="6666" w:type="dxa"/>
            <w:vAlign w:val="center"/>
          </w:tcPr>
          <w:p w14:paraId="64757252" w14:textId="77777777" w:rsidR="00F75D9A" w:rsidRPr="009B5509" w:rsidRDefault="00F75D9A" w:rsidP="00F75D9A">
            <w:pPr>
              <w:rPr>
                <w:rFonts w:ascii="Calibri" w:hAnsi="Calibri" w:cs="Calibri"/>
                <w:bCs/>
                <w:color w:val="000000"/>
                <w:sz w:val="20"/>
                <w:szCs w:val="20"/>
              </w:rPr>
            </w:pPr>
            <w:r w:rsidRPr="009B5509">
              <w:rPr>
                <w:rFonts w:ascii="Calibri" w:hAnsi="Calibri" w:cs="Calibri"/>
                <w:bCs/>
                <w:color w:val="000000"/>
                <w:sz w:val="20"/>
                <w:szCs w:val="20"/>
              </w:rPr>
              <w:t>Mental Health Child and Adolescent Services Initiative</w:t>
            </w:r>
          </w:p>
        </w:tc>
        <w:tc>
          <w:tcPr>
            <w:tcW w:w="1069" w:type="dxa"/>
            <w:tcMar>
              <w:right w:w="58" w:type="dxa"/>
            </w:tcMar>
          </w:tcPr>
          <w:p w14:paraId="08AFA456" w14:textId="27D37BB4"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w:t>
            </w:r>
            <w:r w:rsidR="00A848C5">
              <w:rPr>
                <w:rFonts w:asciiTheme="minorHAnsi" w:hAnsiTheme="minorHAnsi" w:cstheme="minorHAnsi"/>
                <w:sz w:val="20"/>
                <w:szCs w:val="20"/>
              </w:rPr>
              <w:t>,</w:t>
            </w:r>
            <w:r w:rsidRPr="009B5509">
              <w:rPr>
                <w:rFonts w:asciiTheme="minorHAnsi" w:hAnsiTheme="minorHAnsi" w:cstheme="minorHAnsi"/>
                <w:sz w:val="20"/>
                <w:szCs w:val="20"/>
              </w:rPr>
              <w:t>911</w:t>
            </w:r>
          </w:p>
        </w:tc>
      </w:tr>
      <w:tr w:rsidR="00F75D9A" w:rsidRPr="009B5509" w14:paraId="4EA19EF2" w14:textId="77777777" w:rsidTr="00990E2B">
        <w:trPr>
          <w:jc w:val="center"/>
        </w:trPr>
        <w:tc>
          <w:tcPr>
            <w:tcW w:w="6666" w:type="dxa"/>
            <w:vAlign w:val="center"/>
          </w:tcPr>
          <w:p w14:paraId="18B0F228" w14:textId="77777777" w:rsidR="00F75D9A" w:rsidRPr="009B5509" w:rsidRDefault="00F75D9A" w:rsidP="00F75D9A">
            <w:pPr>
              <w:rPr>
                <w:rFonts w:ascii="Calibri" w:hAnsi="Calibri" w:cs="Calibri"/>
                <w:bCs/>
                <w:color w:val="000000"/>
                <w:sz w:val="20"/>
                <w:szCs w:val="20"/>
              </w:rPr>
            </w:pPr>
            <w:r w:rsidRPr="009B5509">
              <w:rPr>
                <w:rFonts w:ascii="Calibri" w:hAnsi="Calibri" w:cs="Calibri"/>
                <w:bCs/>
                <w:color w:val="000000"/>
                <w:sz w:val="20"/>
                <w:szCs w:val="20"/>
              </w:rPr>
              <w:t>Mental Health Services for Children in Juvenile Detention Centers</w:t>
            </w:r>
          </w:p>
        </w:tc>
        <w:tc>
          <w:tcPr>
            <w:tcW w:w="1069" w:type="dxa"/>
            <w:tcMar>
              <w:right w:w="58" w:type="dxa"/>
            </w:tcMar>
          </w:tcPr>
          <w:p w14:paraId="5746B52F" w14:textId="773D624F"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w:t>
            </w:r>
            <w:r w:rsidR="00A848C5">
              <w:rPr>
                <w:rFonts w:asciiTheme="minorHAnsi" w:hAnsiTheme="minorHAnsi" w:cstheme="minorHAnsi"/>
                <w:sz w:val="20"/>
                <w:szCs w:val="20"/>
              </w:rPr>
              <w:t>,</w:t>
            </w:r>
            <w:r w:rsidRPr="009B5509">
              <w:rPr>
                <w:rFonts w:asciiTheme="minorHAnsi" w:hAnsiTheme="minorHAnsi" w:cstheme="minorHAnsi"/>
                <w:sz w:val="20"/>
                <w:szCs w:val="20"/>
              </w:rPr>
              <w:t>809</w:t>
            </w:r>
          </w:p>
        </w:tc>
      </w:tr>
      <w:tr w:rsidR="00F75D9A" w:rsidRPr="009B5509" w14:paraId="2E192651" w14:textId="77777777" w:rsidTr="00990E2B">
        <w:trPr>
          <w:jc w:val="center"/>
        </w:trPr>
        <w:tc>
          <w:tcPr>
            <w:tcW w:w="6666" w:type="dxa"/>
            <w:vAlign w:val="center"/>
          </w:tcPr>
          <w:p w14:paraId="295B7FB5" w14:textId="77777777" w:rsidR="00F75D9A" w:rsidRPr="009B5509" w:rsidRDefault="00F75D9A" w:rsidP="00F75D9A">
            <w:pPr>
              <w:rPr>
                <w:rFonts w:ascii="Calibri" w:hAnsi="Calibri" w:cs="Calibri"/>
                <w:bCs/>
                <w:color w:val="000000"/>
                <w:sz w:val="20"/>
                <w:szCs w:val="20"/>
              </w:rPr>
            </w:pPr>
            <w:r w:rsidRPr="009B5509">
              <w:rPr>
                <w:rFonts w:ascii="Calibri" w:hAnsi="Calibri" w:cs="Calibri"/>
                <w:bCs/>
                <w:color w:val="000000"/>
                <w:sz w:val="20"/>
                <w:szCs w:val="20"/>
              </w:rPr>
              <w:t>Program of Assertive Community Treatment (PACT)</w:t>
            </w:r>
          </w:p>
        </w:tc>
        <w:tc>
          <w:tcPr>
            <w:tcW w:w="1069" w:type="dxa"/>
            <w:tcMar>
              <w:right w:w="58" w:type="dxa"/>
            </w:tcMar>
          </w:tcPr>
          <w:p w14:paraId="363F1BC5" w14:textId="08F15A34"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2</w:t>
            </w:r>
            <w:r w:rsidR="00A848C5">
              <w:rPr>
                <w:rFonts w:asciiTheme="minorHAnsi" w:hAnsiTheme="minorHAnsi" w:cstheme="minorHAnsi"/>
                <w:sz w:val="20"/>
                <w:szCs w:val="20"/>
              </w:rPr>
              <w:t>,</w:t>
            </w:r>
            <w:r w:rsidRPr="009B5509">
              <w:rPr>
                <w:rFonts w:asciiTheme="minorHAnsi" w:hAnsiTheme="minorHAnsi" w:cstheme="minorHAnsi"/>
                <w:sz w:val="20"/>
                <w:szCs w:val="20"/>
              </w:rPr>
              <w:t>652</w:t>
            </w:r>
          </w:p>
        </w:tc>
      </w:tr>
      <w:tr w:rsidR="00F75D9A" w:rsidRPr="00381DAD" w14:paraId="24728DBC" w14:textId="77777777" w:rsidTr="00990E2B">
        <w:trPr>
          <w:jc w:val="center"/>
        </w:trPr>
        <w:tc>
          <w:tcPr>
            <w:tcW w:w="6666" w:type="dxa"/>
            <w:vAlign w:val="center"/>
          </w:tcPr>
          <w:p w14:paraId="15DFAB6C" w14:textId="77777777" w:rsidR="00F75D9A" w:rsidRPr="009B5509" w:rsidRDefault="00F75D9A" w:rsidP="00F75D9A">
            <w:pPr>
              <w:rPr>
                <w:rFonts w:ascii="Calibri" w:hAnsi="Calibri" w:cs="Calibri"/>
                <w:bCs/>
                <w:color w:val="000000"/>
                <w:sz w:val="20"/>
                <w:szCs w:val="20"/>
              </w:rPr>
            </w:pPr>
            <w:r w:rsidRPr="009B5509">
              <w:rPr>
                <w:rFonts w:ascii="Calibri" w:hAnsi="Calibri" w:cs="Calibri"/>
                <w:bCs/>
                <w:color w:val="000000"/>
                <w:sz w:val="20"/>
                <w:szCs w:val="20"/>
              </w:rPr>
              <w:t xml:space="preserve">Projects for Assistance in Transition from Homelessness (PATH) </w:t>
            </w:r>
          </w:p>
        </w:tc>
        <w:tc>
          <w:tcPr>
            <w:tcW w:w="1069" w:type="dxa"/>
            <w:tcMar>
              <w:right w:w="58" w:type="dxa"/>
            </w:tcMar>
          </w:tcPr>
          <w:p w14:paraId="40C01857" w14:textId="2E1E26C7" w:rsidR="00F75D9A" w:rsidRPr="009B5509" w:rsidRDefault="00F75D9A" w:rsidP="00F75D9A">
            <w:pPr>
              <w:autoSpaceDE w:val="0"/>
              <w:autoSpaceDN w:val="0"/>
              <w:adjustRightInd w:val="0"/>
              <w:jc w:val="center"/>
              <w:rPr>
                <w:rFonts w:asciiTheme="minorHAnsi" w:hAnsiTheme="minorHAnsi" w:cstheme="minorHAnsi"/>
                <w:sz w:val="20"/>
                <w:szCs w:val="20"/>
              </w:rPr>
            </w:pPr>
            <w:r w:rsidRPr="009B5509">
              <w:rPr>
                <w:rFonts w:asciiTheme="minorHAnsi" w:hAnsiTheme="minorHAnsi" w:cstheme="minorHAnsi"/>
                <w:sz w:val="20"/>
                <w:szCs w:val="20"/>
              </w:rPr>
              <w:t>1</w:t>
            </w:r>
            <w:r w:rsidR="00A848C5">
              <w:rPr>
                <w:rFonts w:asciiTheme="minorHAnsi" w:hAnsiTheme="minorHAnsi" w:cstheme="minorHAnsi"/>
                <w:sz w:val="20"/>
                <w:szCs w:val="20"/>
              </w:rPr>
              <w:t>,</w:t>
            </w:r>
            <w:r w:rsidRPr="009B5509">
              <w:rPr>
                <w:rFonts w:asciiTheme="minorHAnsi" w:hAnsiTheme="minorHAnsi" w:cstheme="minorHAnsi"/>
                <w:sz w:val="20"/>
                <w:szCs w:val="20"/>
              </w:rPr>
              <w:t>428</w:t>
            </w:r>
          </w:p>
        </w:tc>
      </w:tr>
      <w:tr w:rsidR="00F75D9A" w:rsidRPr="00381DAD" w14:paraId="3143FFB9" w14:textId="77777777" w:rsidTr="00990E2B">
        <w:trPr>
          <w:jc w:val="center"/>
        </w:trPr>
        <w:tc>
          <w:tcPr>
            <w:tcW w:w="6666" w:type="dxa"/>
            <w:vAlign w:val="center"/>
          </w:tcPr>
          <w:p w14:paraId="59B42DC0" w14:textId="77777777" w:rsidR="00F75D9A" w:rsidRPr="00F047E1" w:rsidRDefault="00F75D9A" w:rsidP="00F75D9A">
            <w:pPr>
              <w:rPr>
                <w:rFonts w:ascii="Calibri" w:hAnsi="Calibri" w:cs="Calibri"/>
                <w:bCs/>
                <w:color w:val="000000"/>
                <w:sz w:val="20"/>
                <w:szCs w:val="20"/>
              </w:rPr>
            </w:pPr>
            <w:r w:rsidRPr="00F047E1">
              <w:rPr>
                <w:rFonts w:ascii="Calibri" w:hAnsi="Calibri" w:cs="Calibri"/>
                <w:bCs/>
                <w:color w:val="000000"/>
                <w:sz w:val="20"/>
                <w:szCs w:val="20"/>
              </w:rPr>
              <w:t>Medicaid Developmental Disability (DD) Waiver Services</w:t>
            </w:r>
          </w:p>
        </w:tc>
        <w:tc>
          <w:tcPr>
            <w:tcW w:w="1069" w:type="dxa"/>
            <w:tcMar>
              <w:right w:w="58" w:type="dxa"/>
            </w:tcMar>
          </w:tcPr>
          <w:p w14:paraId="704C1163" w14:textId="55C2685F"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16</w:t>
            </w:r>
            <w:r w:rsidR="00A848C5">
              <w:rPr>
                <w:rFonts w:asciiTheme="minorHAnsi" w:hAnsiTheme="minorHAnsi" w:cstheme="minorHAnsi"/>
                <w:sz w:val="20"/>
                <w:szCs w:val="20"/>
              </w:rPr>
              <w:t>,</w:t>
            </w:r>
            <w:r w:rsidRPr="009B5509">
              <w:rPr>
                <w:rFonts w:asciiTheme="minorHAnsi" w:hAnsiTheme="minorHAnsi" w:cstheme="minorHAnsi"/>
                <w:sz w:val="20"/>
                <w:szCs w:val="20"/>
              </w:rPr>
              <w:t>139</w:t>
            </w:r>
          </w:p>
        </w:tc>
      </w:tr>
      <w:tr w:rsidR="00F75D9A" w:rsidRPr="00381DAD" w14:paraId="65FBE400" w14:textId="77777777" w:rsidTr="00990E2B">
        <w:trPr>
          <w:jc w:val="center"/>
        </w:trPr>
        <w:tc>
          <w:tcPr>
            <w:tcW w:w="6666" w:type="dxa"/>
          </w:tcPr>
          <w:p w14:paraId="18B62052" w14:textId="77777777" w:rsidR="00F75D9A" w:rsidRPr="00F047E1" w:rsidRDefault="00F75D9A" w:rsidP="00F75D9A">
            <w:pPr>
              <w:rPr>
                <w:rFonts w:ascii="Calibri" w:hAnsi="Calibri" w:cs="Calibri"/>
                <w:bCs/>
                <w:color w:val="000000"/>
                <w:sz w:val="20"/>
                <w:szCs w:val="20"/>
              </w:rPr>
            </w:pPr>
            <w:r w:rsidRPr="00F047E1">
              <w:rPr>
                <w:rFonts w:ascii="Calibri" w:hAnsi="Calibri" w:cs="Calibri"/>
                <w:sz w:val="20"/>
                <w:szCs w:val="20"/>
              </w:rPr>
              <w:t>Developmental Enhanced Case Management (ECM) Services</w:t>
            </w:r>
          </w:p>
        </w:tc>
        <w:tc>
          <w:tcPr>
            <w:tcW w:w="1069" w:type="dxa"/>
            <w:tcMar>
              <w:right w:w="58" w:type="dxa"/>
            </w:tcMar>
          </w:tcPr>
          <w:p w14:paraId="1E02A18A" w14:textId="1E2AFAAD"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7</w:t>
            </w:r>
            <w:r w:rsidR="00A848C5">
              <w:rPr>
                <w:rFonts w:asciiTheme="minorHAnsi" w:hAnsiTheme="minorHAnsi" w:cstheme="minorHAnsi"/>
                <w:sz w:val="20"/>
                <w:szCs w:val="20"/>
              </w:rPr>
              <w:t>,</w:t>
            </w:r>
            <w:r w:rsidRPr="009B5509">
              <w:rPr>
                <w:rFonts w:asciiTheme="minorHAnsi" w:hAnsiTheme="minorHAnsi" w:cstheme="minorHAnsi"/>
                <w:sz w:val="20"/>
                <w:szCs w:val="20"/>
              </w:rPr>
              <w:t>168</w:t>
            </w:r>
          </w:p>
        </w:tc>
      </w:tr>
      <w:tr w:rsidR="00F75D9A" w:rsidRPr="00381DAD" w14:paraId="520D033F" w14:textId="77777777" w:rsidTr="00990E2B">
        <w:trPr>
          <w:jc w:val="center"/>
        </w:trPr>
        <w:tc>
          <w:tcPr>
            <w:tcW w:w="6666" w:type="dxa"/>
            <w:vAlign w:val="center"/>
          </w:tcPr>
          <w:p w14:paraId="0B66CF09" w14:textId="77777777" w:rsidR="00F75D9A" w:rsidRPr="00F047E1" w:rsidRDefault="00F75D9A" w:rsidP="00F75D9A">
            <w:pPr>
              <w:rPr>
                <w:rFonts w:ascii="Calibri" w:hAnsi="Calibri" w:cs="Calibri"/>
                <w:bCs/>
                <w:color w:val="000000"/>
                <w:sz w:val="20"/>
                <w:szCs w:val="20"/>
              </w:rPr>
            </w:pPr>
            <w:r w:rsidRPr="00F047E1">
              <w:rPr>
                <w:rFonts w:ascii="Calibri" w:hAnsi="Calibri" w:cs="Calibri"/>
                <w:bCs/>
                <w:color w:val="000000"/>
                <w:sz w:val="20"/>
                <w:szCs w:val="20"/>
              </w:rPr>
              <w:t>Substance Use Disorder Medication Assisted Treatment (MAT)</w:t>
            </w:r>
          </w:p>
        </w:tc>
        <w:tc>
          <w:tcPr>
            <w:tcW w:w="1069" w:type="dxa"/>
            <w:tcMar>
              <w:right w:w="58" w:type="dxa"/>
            </w:tcMar>
          </w:tcPr>
          <w:p w14:paraId="0221497D" w14:textId="71DF837B"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3</w:t>
            </w:r>
            <w:r w:rsidR="00A848C5">
              <w:rPr>
                <w:rFonts w:asciiTheme="minorHAnsi" w:hAnsiTheme="minorHAnsi" w:cstheme="minorHAnsi"/>
                <w:sz w:val="20"/>
                <w:szCs w:val="20"/>
              </w:rPr>
              <w:t>,</w:t>
            </w:r>
            <w:r w:rsidRPr="009B5509">
              <w:rPr>
                <w:rFonts w:asciiTheme="minorHAnsi" w:hAnsiTheme="minorHAnsi" w:cstheme="minorHAnsi"/>
                <w:sz w:val="20"/>
                <w:szCs w:val="20"/>
              </w:rPr>
              <w:t>276</w:t>
            </w:r>
          </w:p>
        </w:tc>
      </w:tr>
      <w:tr w:rsidR="00F75D9A" w:rsidRPr="00381DAD" w14:paraId="5E9F08E5" w14:textId="77777777" w:rsidTr="00990E2B">
        <w:trPr>
          <w:jc w:val="center"/>
        </w:trPr>
        <w:tc>
          <w:tcPr>
            <w:tcW w:w="6666" w:type="dxa"/>
          </w:tcPr>
          <w:p w14:paraId="584262A0" w14:textId="77777777" w:rsidR="00F75D9A" w:rsidRPr="00F047E1" w:rsidRDefault="00F75D9A" w:rsidP="00F75D9A">
            <w:pPr>
              <w:rPr>
                <w:rFonts w:ascii="Calibri" w:hAnsi="Calibri" w:cs="Calibri"/>
                <w:bCs/>
                <w:color w:val="000000"/>
                <w:sz w:val="20"/>
                <w:szCs w:val="20"/>
              </w:rPr>
            </w:pPr>
            <w:r w:rsidRPr="00F047E1">
              <w:rPr>
                <w:rFonts w:ascii="Calibri" w:hAnsi="Calibri" w:cs="Calibri"/>
                <w:sz w:val="20"/>
                <w:szCs w:val="20"/>
              </w:rPr>
              <w:t>Project Remote</w:t>
            </w:r>
          </w:p>
        </w:tc>
        <w:tc>
          <w:tcPr>
            <w:tcW w:w="1069" w:type="dxa"/>
            <w:tcMar>
              <w:right w:w="58" w:type="dxa"/>
            </w:tcMar>
          </w:tcPr>
          <w:p w14:paraId="05CE83B2" w14:textId="28658B81"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11</w:t>
            </w:r>
          </w:p>
        </w:tc>
      </w:tr>
      <w:tr w:rsidR="00F75D9A" w:rsidRPr="00381DAD" w14:paraId="50AE6F5C" w14:textId="77777777" w:rsidTr="00990E2B">
        <w:trPr>
          <w:jc w:val="center"/>
        </w:trPr>
        <w:tc>
          <w:tcPr>
            <w:tcW w:w="6666" w:type="dxa"/>
            <w:vAlign w:val="center"/>
          </w:tcPr>
          <w:p w14:paraId="1625331A" w14:textId="77777777" w:rsidR="00F75D9A" w:rsidRPr="00F047E1" w:rsidRDefault="00F75D9A" w:rsidP="00F75D9A">
            <w:pPr>
              <w:rPr>
                <w:rFonts w:ascii="Calibri" w:hAnsi="Calibri" w:cs="Calibri"/>
                <w:bCs/>
                <w:color w:val="000000"/>
                <w:sz w:val="20"/>
                <w:szCs w:val="20"/>
              </w:rPr>
            </w:pPr>
            <w:r w:rsidRPr="00F047E1">
              <w:rPr>
                <w:rFonts w:ascii="Calibri" w:hAnsi="Calibri" w:cs="Calibri"/>
                <w:bCs/>
                <w:color w:val="000000"/>
                <w:sz w:val="20"/>
                <w:szCs w:val="20"/>
              </w:rPr>
              <w:t>Substance Use Disorder Recovery Support Services</w:t>
            </w:r>
          </w:p>
        </w:tc>
        <w:tc>
          <w:tcPr>
            <w:tcW w:w="1069" w:type="dxa"/>
            <w:tcMar>
              <w:right w:w="58" w:type="dxa"/>
            </w:tcMar>
          </w:tcPr>
          <w:p w14:paraId="2C26343A" w14:textId="1F287988"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814</w:t>
            </w:r>
          </w:p>
        </w:tc>
      </w:tr>
      <w:tr w:rsidR="00F75D9A" w:rsidRPr="00381DAD" w14:paraId="1A104F5F" w14:textId="77777777" w:rsidTr="00990E2B">
        <w:trPr>
          <w:jc w:val="center"/>
        </w:trPr>
        <w:tc>
          <w:tcPr>
            <w:tcW w:w="6666" w:type="dxa"/>
            <w:vAlign w:val="center"/>
          </w:tcPr>
          <w:p w14:paraId="4EF2F18A" w14:textId="77777777" w:rsidR="00F75D9A" w:rsidRPr="00F047E1" w:rsidRDefault="00F75D9A" w:rsidP="00F75D9A">
            <w:pPr>
              <w:rPr>
                <w:rFonts w:ascii="Calibri" w:hAnsi="Calibri" w:cs="Calibri"/>
                <w:bCs/>
                <w:color w:val="000000"/>
                <w:sz w:val="20"/>
                <w:szCs w:val="20"/>
              </w:rPr>
            </w:pPr>
            <w:r w:rsidRPr="00F047E1">
              <w:rPr>
                <w:rFonts w:ascii="Calibri" w:hAnsi="Calibri" w:cs="Calibri"/>
                <w:sz w:val="20"/>
                <w:szCs w:val="20"/>
              </w:rPr>
              <w:t>Project LINK</w:t>
            </w:r>
          </w:p>
        </w:tc>
        <w:tc>
          <w:tcPr>
            <w:tcW w:w="1069" w:type="dxa"/>
            <w:tcMar>
              <w:right w:w="58" w:type="dxa"/>
            </w:tcMar>
          </w:tcPr>
          <w:p w14:paraId="59292228" w14:textId="02FE3E76" w:rsidR="00F75D9A" w:rsidRPr="009B5509" w:rsidRDefault="00F75D9A" w:rsidP="00F75D9A">
            <w:pPr>
              <w:jc w:val="center"/>
              <w:rPr>
                <w:rFonts w:asciiTheme="minorHAnsi" w:hAnsiTheme="minorHAnsi" w:cstheme="minorHAnsi"/>
                <w:sz w:val="20"/>
                <w:szCs w:val="20"/>
              </w:rPr>
            </w:pPr>
            <w:r w:rsidRPr="009B5509">
              <w:rPr>
                <w:rFonts w:asciiTheme="minorHAnsi" w:hAnsiTheme="minorHAnsi" w:cstheme="minorHAnsi"/>
                <w:sz w:val="20"/>
                <w:szCs w:val="20"/>
              </w:rPr>
              <w:t>948</w:t>
            </w:r>
          </w:p>
        </w:tc>
      </w:tr>
    </w:tbl>
    <w:p w14:paraId="7EC1A622" w14:textId="74ACDB95" w:rsidR="003F400A" w:rsidRPr="00D23FB9" w:rsidRDefault="00A848C5" w:rsidP="00F46923">
      <w:r>
        <w:lastRenderedPageBreak/>
        <w:br/>
      </w:r>
      <w:r w:rsidR="003F400A" w:rsidRPr="00D23FB9">
        <w:t xml:space="preserve">Figure </w:t>
      </w:r>
      <w:r w:rsidR="007E5D0B">
        <w:t>11</w:t>
      </w:r>
      <w:r w:rsidR="003F400A" w:rsidRPr="00D23FB9">
        <w:t xml:space="preserve"> contains insurance data about numbers of individuals who received CSB services. </w:t>
      </w:r>
    </w:p>
    <w:p w14:paraId="660F5026" w14:textId="77777777" w:rsidR="003F400A" w:rsidRPr="00D23FB9" w:rsidRDefault="003F400A" w:rsidP="00F46923">
      <w:pPr>
        <w:rPr>
          <w:color w:val="FF0000"/>
        </w:rPr>
      </w:pPr>
    </w:p>
    <w:tbl>
      <w:tblPr>
        <w:tblW w:w="834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 w:type="dxa"/>
          <w:right w:w="14" w:type="dxa"/>
        </w:tblCellMar>
        <w:tblLook w:val="04A0" w:firstRow="1" w:lastRow="0" w:firstColumn="1" w:lastColumn="0" w:noHBand="0" w:noVBand="1"/>
      </w:tblPr>
      <w:tblGrid>
        <w:gridCol w:w="1812"/>
        <w:gridCol w:w="1460"/>
        <w:gridCol w:w="1390"/>
        <w:gridCol w:w="1452"/>
        <w:gridCol w:w="1206"/>
        <w:gridCol w:w="1020"/>
      </w:tblGrid>
      <w:tr w:rsidR="003F400A" w:rsidRPr="00844F6D" w14:paraId="54573B0F" w14:textId="77777777" w:rsidTr="00A61A4B">
        <w:trPr>
          <w:jc w:val="center"/>
        </w:trPr>
        <w:tc>
          <w:tcPr>
            <w:tcW w:w="8340" w:type="dxa"/>
            <w:gridSpan w:val="6"/>
            <w:vAlign w:val="center"/>
          </w:tcPr>
          <w:p w14:paraId="7482ADEC" w14:textId="3A400201" w:rsidR="003F400A" w:rsidRPr="00F047E1" w:rsidRDefault="003F400A" w:rsidP="00F46923">
            <w:pPr>
              <w:jc w:val="center"/>
              <w:rPr>
                <w:rFonts w:ascii="Calibri" w:hAnsi="Calibri" w:cs="Calibri"/>
                <w:sz w:val="20"/>
                <w:szCs w:val="20"/>
              </w:rPr>
            </w:pPr>
            <w:r w:rsidRPr="009B5509">
              <w:rPr>
                <w:rFonts w:ascii="Calibri" w:hAnsi="Calibri" w:cs="Calibri"/>
                <w:b/>
                <w:color w:val="365F91" w:themeColor="accent1" w:themeShade="BF"/>
                <w:sz w:val="20"/>
                <w:szCs w:val="20"/>
              </w:rPr>
              <w:t xml:space="preserve">Figure </w:t>
            </w:r>
            <w:r w:rsidR="007E5D0B" w:rsidRPr="009B5509">
              <w:rPr>
                <w:rFonts w:ascii="Calibri" w:hAnsi="Calibri" w:cs="Calibri"/>
                <w:b/>
                <w:color w:val="365F91" w:themeColor="accent1" w:themeShade="BF"/>
                <w:sz w:val="20"/>
                <w:szCs w:val="20"/>
              </w:rPr>
              <w:t>11</w:t>
            </w:r>
            <w:r w:rsidRPr="00F047E1">
              <w:rPr>
                <w:rFonts w:ascii="Calibri" w:hAnsi="Calibri" w:cs="Calibri"/>
                <w:b/>
                <w:color w:val="365F91" w:themeColor="accent1" w:themeShade="BF"/>
                <w:sz w:val="20"/>
                <w:szCs w:val="20"/>
              </w:rPr>
              <w:t>:  Individuals Enrolled in Medicaid or Uninsured Served by CSBs in FY 202</w:t>
            </w:r>
            <w:r w:rsidR="004023E5">
              <w:rPr>
                <w:rFonts w:ascii="Calibri" w:hAnsi="Calibri" w:cs="Calibri"/>
                <w:b/>
                <w:color w:val="365F91" w:themeColor="accent1" w:themeShade="BF"/>
                <w:sz w:val="20"/>
                <w:szCs w:val="20"/>
              </w:rPr>
              <w:t>2</w:t>
            </w:r>
            <w:r w:rsidRPr="00F047E1">
              <w:rPr>
                <w:rFonts w:ascii="Calibri" w:hAnsi="Calibri" w:cs="Calibri"/>
                <w:b/>
                <w:color w:val="365F91" w:themeColor="accent1" w:themeShade="BF"/>
                <w:sz w:val="20"/>
                <w:szCs w:val="20"/>
                <w:vertAlign w:val="superscript"/>
              </w:rPr>
              <w:t>1</w:t>
            </w:r>
          </w:p>
        </w:tc>
      </w:tr>
      <w:tr w:rsidR="003F400A" w:rsidRPr="00844F6D" w14:paraId="2D93662D" w14:textId="77777777" w:rsidTr="00A61A4B">
        <w:trPr>
          <w:jc w:val="center"/>
        </w:trPr>
        <w:tc>
          <w:tcPr>
            <w:tcW w:w="1812" w:type="dxa"/>
            <w:vAlign w:val="center"/>
          </w:tcPr>
          <w:p w14:paraId="31817FE6" w14:textId="77777777" w:rsidR="003F400A" w:rsidRPr="00F047E1" w:rsidRDefault="003F400A" w:rsidP="00F46923">
            <w:pPr>
              <w:jc w:val="right"/>
              <w:rPr>
                <w:rFonts w:ascii="Calibri" w:hAnsi="Calibri" w:cs="Calibri"/>
                <w:sz w:val="20"/>
                <w:szCs w:val="20"/>
              </w:rPr>
            </w:pPr>
            <w:r w:rsidRPr="00F047E1">
              <w:rPr>
                <w:rFonts w:ascii="Calibri" w:hAnsi="Calibri" w:cs="Calibri"/>
                <w:sz w:val="20"/>
                <w:szCs w:val="20"/>
              </w:rPr>
              <w:t xml:space="preserve">Services:      </w:t>
            </w:r>
          </w:p>
        </w:tc>
        <w:tc>
          <w:tcPr>
            <w:tcW w:w="1460" w:type="dxa"/>
            <w:vAlign w:val="center"/>
          </w:tcPr>
          <w:p w14:paraId="50145F0A" w14:textId="77777777" w:rsidR="003F400A" w:rsidRPr="009B5509" w:rsidRDefault="003F400A" w:rsidP="00F46923">
            <w:pPr>
              <w:jc w:val="center"/>
              <w:rPr>
                <w:rFonts w:ascii="Calibri" w:hAnsi="Calibri" w:cs="Calibri"/>
                <w:sz w:val="20"/>
                <w:szCs w:val="20"/>
              </w:rPr>
            </w:pPr>
            <w:r w:rsidRPr="009B5509">
              <w:rPr>
                <w:rFonts w:ascii="Calibri" w:hAnsi="Calibri" w:cs="Calibri"/>
                <w:sz w:val="20"/>
                <w:szCs w:val="20"/>
              </w:rPr>
              <w:t>MH Services</w:t>
            </w:r>
          </w:p>
        </w:tc>
        <w:tc>
          <w:tcPr>
            <w:tcW w:w="1390" w:type="dxa"/>
            <w:vAlign w:val="center"/>
          </w:tcPr>
          <w:p w14:paraId="388EDD39" w14:textId="77777777" w:rsidR="003F400A" w:rsidRPr="009B5509" w:rsidRDefault="003F400A" w:rsidP="00F46923">
            <w:pPr>
              <w:jc w:val="center"/>
              <w:rPr>
                <w:rFonts w:ascii="Calibri" w:hAnsi="Calibri" w:cs="Calibri"/>
                <w:sz w:val="20"/>
                <w:szCs w:val="20"/>
              </w:rPr>
            </w:pPr>
            <w:r w:rsidRPr="009B5509">
              <w:rPr>
                <w:rFonts w:ascii="Calibri" w:hAnsi="Calibri" w:cs="Calibri"/>
                <w:sz w:val="20"/>
                <w:szCs w:val="20"/>
              </w:rPr>
              <w:t>DV Services</w:t>
            </w:r>
          </w:p>
        </w:tc>
        <w:tc>
          <w:tcPr>
            <w:tcW w:w="1452" w:type="dxa"/>
            <w:vAlign w:val="center"/>
          </w:tcPr>
          <w:p w14:paraId="5BC99E56" w14:textId="77777777" w:rsidR="003F400A" w:rsidRPr="009B5509" w:rsidRDefault="003F400A" w:rsidP="00F46923">
            <w:pPr>
              <w:jc w:val="center"/>
              <w:rPr>
                <w:rFonts w:ascii="Calibri" w:hAnsi="Calibri" w:cs="Calibri"/>
                <w:sz w:val="20"/>
                <w:szCs w:val="20"/>
              </w:rPr>
            </w:pPr>
            <w:r w:rsidRPr="009B5509">
              <w:rPr>
                <w:rFonts w:ascii="Calibri" w:hAnsi="Calibri" w:cs="Calibri"/>
                <w:sz w:val="20"/>
                <w:szCs w:val="20"/>
              </w:rPr>
              <w:t xml:space="preserve">SUD Services </w:t>
            </w:r>
          </w:p>
        </w:tc>
        <w:tc>
          <w:tcPr>
            <w:tcW w:w="1206" w:type="dxa"/>
            <w:vAlign w:val="center"/>
          </w:tcPr>
          <w:p w14:paraId="60CC1FC8" w14:textId="77777777" w:rsidR="003F400A" w:rsidRPr="009B5509" w:rsidRDefault="003F400A" w:rsidP="00F46923">
            <w:pPr>
              <w:jc w:val="center"/>
              <w:rPr>
                <w:rFonts w:ascii="Calibri" w:hAnsi="Calibri" w:cs="Calibri"/>
                <w:sz w:val="20"/>
                <w:szCs w:val="20"/>
              </w:rPr>
            </w:pPr>
            <w:r w:rsidRPr="009B5509">
              <w:rPr>
                <w:rFonts w:ascii="Calibri" w:hAnsi="Calibri" w:cs="Calibri"/>
                <w:sz w:val="20"/>
                <w:szCs w:val="20"/>
              </w:rPr>
              <w:t>Emergency</w:t>
            </w:r>
          </w:p>
        </w:tc>
        <w:tc>
          <w:tcPr>
            <w:tcW w:w="1020" w:type="dxa"/>
            <w:vAlign w:val="center"/>
          </w:tcPr>
          <w:p w14:paraId="11EC33FF" w14:textId="77777777" w:rsidR="003F400A" w:rsidRPr="009B5509" w:rsidRDefault="003F400A" w:rsidP="00F46923">
            <w:pPr>
              <w:jc w:val="center"/>
              <w:rPr>
                <w:rFonts w:ascii="Calibri" w:hAnsi="Calibri" w:cs="Calibri"/>
                <w:sz w:val="20"/>
                <w:szCs w:val="20"/>
              </w:rPr>
            </w:pPr>
            <w:r w:rsidRPr="009B5509">
              <w:rPr>
                <w:rFonts w:ascii="Calibri" w:hAnsi="Calibri" w:cs="Calibri"/>
                <w:sz w:val="20"/>
                <w:szCs w:val="20"/>
              </w:rPr>
              <w:t>Ancillary</w:t>
            </w:r>
          </w:p>
        </w:tc>
      </w:tr>
      <w:tr w:rsidR="00DD1368" w:rsidRPr="00844F6D" w14:paraId="7B7FC902" w14:textId="77777777" w:rsidTr="00A61A4B">
        <w:trPr>
          <w:jc w:val="center"/>
        </w:trPr>
        <w:tc>
          <w:tcPr>
            <w:tcW w:w="1812" w:type="dxa"/>
            <w:vAlign w:val="center"/>
          </w:tcPr>
          <w:p w14:paraId="0AC38A18" w14:textId="77777777" w:rsidR="00DD1368" w:rsidRPr="00F047E1" w:rsidRDefault="00DD1368" w:rsidP="00DD1368">
            <w:pPr>
              <w:jc w:val="center"/>
              <w:rPr>
                <w:rFonts w:ascii="Calibri" w:hAnsi="Calibri" w:cs="Calibri"/>
                <w:i/>
                <w:sz w:val="20"/>
                <w:szCs w:val="20"/>
              </w:rPr>
            </w:pPr>
            <w:r w:rsidRPr="00F047E1">
              <w:rPr>
                <w:rFonts w:ascii="Calibri" w:hAnsi="Calibri" w:cs="Calibri"/>
                <w:i/>
                <w:sz w:val="20"/>
                <w:szCs w:val="20"/>
              </w:rPr>
              <w:t>Total Individuals</w:t>
            </w:r>
          </w:p>
        </w:tc>
        <w:tc>
          <w:tcPr>
            <w:tcW w:w="1460" w:type="dxa"/>
          </w:tcPr>
          <w:p w14:paraId="0A95619C" w14:textId="793EB829" w:rsidR="00DD1368" w:rsidRPr="009B5509" w:rsidRDefault="00DD1368" w:rsidP="00DD1368">
            <w:pPr>
              <w:jc w:val="center"/>
              <w:rPr>
                <w:rFonts w:ascii="Calibri" w:hAnsi="Calibri" w:cs="Calibri"/>
                <w:i/>
                <w:sz w:val="20"/>
                <w:szCs w:val="20"/>
              </w:rPr>
            </w:pPr>
            <w:r w:rsidRPr="009B5509">
              <w:rPr>
                <w:rFonts w:ascii="Calibri" w:hAnsi="Calibri" w:cs="Calibri"/>
                <w:sz w:val="20"/>
                <w:szCs w:val="20"/>
              </w:rPr>
              <w:t xml:space="preserve"> 122,164 </w:t>
            </w:r>
          </w:p>
        </w:tc>
        <w:tc>
          <w:tcPr>
            <w:tcW w:w="1390" w:type="dxa"/>
          </w:tcPr>
          <w:p w14:paraId="1FCE5B91" w14:textId="0CBF861E" w:rsidR="00DD1368" w:rsidRPr="009B5509" w:rsidRDefault="00DD1368" w:rsidP="00DD1368">
            <w:pPr>
              <w:jc w:val="center"/>
              <w:rPr>
                <w:rFonts w:ascii="Calibri" w:hAnsi="Calibri" w:cs="Calibri"/>
                <w:i/>
                <w:sz w:val="20"/>
                <w:szCs w:val="20"/>
              </w:rPr>
            </w:pPr>
            <w:r w:rsidRPr="009B5509">
              <w:rPr>
                <w:rFonts w:ascii="Calibri" w:hAnsi="Calibri" w:cs="Calibri"/>
                <w:sz w:val="20"/>
                <w:szCs w:val="20"/>
              </w:rPr>
              <w:t xml:space="preserve"> 23,554 </w:t>
            </w:r>
          </w:p>
        </w:tc>
        <w:tc>
          <w:tcPr>
            <w:tcW w:w="1452" w:type="dxa"/>
          </w:tcPr>
          <w:p w14:paraId="4A9B7E80" w14:textId="5F231F69" w:rsidR="00DD1368" w:rsidRPr="009B5509" w:rsidRDefault="00DD1368" w:rsidP="00DD1368">
            <w:pPr>
              <w:jc w:val="center"/>
              <w:rPr>
                <w:rFonts w:ascii="Calibri" w:hAnsi="Calibri" w:cs="Calibri"/>
                <w:i/>
                <w:sz w:val="20"/>
                <w:szCs w:val="20"/>
              </w:rPr>
            </w:pPr>
            <w:r w:rsidRPr="009B5509">
              <w:rPr>
                <w:rFonts w:ascii="Calibri" w:hAnsi="Calibri" w:cs="Calibri"/>
                <w:sz w:val="20"/>
                <w:szCs w:val="20"/>
              </w:rPr>
              <w:t xml:space="preserve"> 24,610 </w:t>
            </w:r>
          </w:p>
        </w:tc>
        <w:tc>
          <w:tcPr>
            <w:tcW w:w="1206" w:type="dxa"/>
          </w:tcPr>
          <w:p w14:paraId="4A50D083" w14:textId="743A4C71" w:rsidR="00DD1368" w:rsidRPr="009B5509" w:rsidRDefault="00DD1368" w:rsidP="00DD1368">
            <w:pPr>
              <w:jc w:val="center"/>
              <w:rPr>
                <w:rFonts w:ascii="Calibri" w:hAnsi="Calibri" w:cs="Calibri"/>
                <w:i/>
                <w:sz w:val="20"/>
                <w:szCs w:val="20"/>
              </w:rPr>
            </w:pPr>
            <w:r w:rsidRPr="009B5509">
              <w:rPr>
                <w:rFonts w:ascii="Calibri" w:hAnsi="Calibri" w:cs="Calibri"/>
                <w:sz w:val="20"/>
                <w:szCs w:val="20"/>
              </w:rPr>
              <w:t xml:space="preserve"> 52,543 </w:t>
            </w:r>
          </w:p>
        </w:tc>
        <w:tc>
          <w:tcPr>
            <w:tcW w:w="1020" w:type="dxa"/>
          </w:tcPr>
          <w:p w14:paraId="195C0D88" w14:textId="628C39D0" w:rsidR="00DD1368" w:rsidRPr="009B5509" w:rsidRDefault="00DD1368" w:rsidP="00DD1368">
            <w:pPr>
              <w:jc w:val="center"/>
              <w:rPr>
                <w:rFonts w:ascii="Calibri" w:hAnsi="Calibri" w:cs="Calibri"/>
                <w:i/>
                <w:sz w:val="20"/>
                <w:szCs w:val="20"/>
              </w:rPr>
            </w:pPr>
            <w:r w:rsidRPr="009B5509">
              <w:rPr>
                <w:rFonts w:ascii="Calibri" w:hAnsi="Calibri" w:cs="Calibri"/>
                <w:sz w:val="20"/>
                <w:szCs w:val="20"/>
              </w:rPr>
              <w:t xml:space="preserve"> 92,914 </w:t>
            </w:r>
          </w:p>
        </w:tc>
      </w:tr>
      <w:tr w:rsidR="00DD1368" w:rsidRPr="00844F6D" w14:paraId="4F03E12A" w14:textId="77777777" w:rsidTr="00A61A4B">
        <w:trPr>
          <w:jc w:val="center"/>
        </w:trPr>
        <w:tc>
          <w:tcPr>
            <w:tcW w:w="1812" w:type="dxa"/>
            <w:vAlign w:val="center"/>
          </w:tcPr>
          <w:p w14:paraId="704F512D" w14:textId="77777777" w:rsidR="00DD1368" w:rsidRPr="00F047E1" w:rsidRDefault="00DD1368" w:rsidP="00DD1368">
            <w:pPr>
              <w:jc w:val="center"/>
              <w:rPr>
                <w:rFonts w:ascii="Calibri" w:hAnsi="Calibri" w:cs="Calibri"/>
                <w:sz w:val="20"/>
                <w:szCs w:val="20"/>
              </w:rPr>
            </w:pPr>
            <w:r w:rsidRPr="00F047E1">
              <w:rPr>
                <w:rFonts w:ascii="Calibri" w:hAnsi="Calibri" w:cs="Calibri"/>
                <w:sz w:val="20"/>
                <w:szCs w:val="20"/>
              </w:rPr>
              <w:t>On Medicaid</w:t>
            </w:r>
          </w:p>
        </w:tc>
        <w:tc>
          <w:tcPr>
            <w:tcW w:w="1460" w:type="dxa"/>
          </w:tcPr>
          <w:p w14:paraId="2DEA2A81" w14:textId="718CC180" w:rsidR="00DD1368" w:rsidRPr="009B5509" w:rsidRDefault="00DD1368" w:rsidP="00DD1368">
            <w:pPr>
              <w:jc w:val="center"/>
              <w:rPr>
                <w:rFonts w:ascii="Calibri" w:hAnsi="Calibri" w:cs="Calibri"/>
                <w:sz w:val="20"/>
                <w:szCs w:val="20"/>
              </w:rPr>
            </w:pPr>
            <w:r w:rsidRPr="009B5509">
              <w:rPr>
                <w:rFonts w:ascii="Calibri" w:hAnsi="Calibri" w:cs="Calibri"/>
                <w:sz w:val="20"/>
                <w:szCs w:val="20"/>
              </w:rPr>
              <w:t xml:space="preserve"> 94,065 </w:t>
            </w:r>
          </w:p>
        </w:tc>
        <w:tc>
          <w:tcPr>
            <w:tcW w:w="1390" w:type="dxa"/>
          </w:tcPr>
          <w:p w14:paraId="0B6D53C9" w14:textId="4A1AF343" w:rsidR="00DD1368" w:rsidRPr="009B5509" w:rsidRDefault="00DD1368" w:rsidP="00DD1368">
            <w:pPr>
              <w:jc w:val="center"/>
              <w:rPr>
                <w:rFonts w:ascii="Calibri" w:hAnsi="Calibri" w:cs="Calibri"/>
                <w:sz w:val="20"/>
                <w:szCs w:val="20"/>
              </w:rPr>
            </w:pPr>
            <w:r w:rsidRPr="009B5509">
              <w:rPr>
                <w:rFonts w:ascii="Calibri" w:hAnsi="Calibri" w:cs="Calibri"/>
                <w:sz w:val="20"/>
                <w:szCs w:val="20"/>
              </w:rPr>
              <w:t xml:space="preserve"> 22,292 </w:t>
            </w:r>
          </w:p>
        </w:tc>
        <w:tc>
          <w:tcPr>
            <w:tcW w:w="1452" w:type="dxa"/>
          </w:tcPr>
          <w:p w14:paraId="7C33ECFB" w14:textId="3BB21F87" w:rsidR="00DD1368" w:rsidRPr="009B5509" w:rsidRDefault="00DD1368" w:rsidP="00DD1368">
            <w:pPr>
              <w:jc w:val="center"/>
              <w:rPr>
                <w:rFonts w:ascii="Calibri" w:hAnsi="Calibri" w:cs="Calibri"/>
                <w:sz w:val="20"/>
                <w:szCs w:val="20"/>
              </w:rPr>
            </w:pPr>
            <w:r w:rsidRPr="009B5509">
              <w:rPr>
                <w:rFonts w:ascii="Calibri" w:hAnsi="Calibri" w:cs="Calibri"/>
                <w:sz w:val="20"/>
                <w:szCs w:val="20"/>
              </w:rPr>
              <w:t xml:space="preserve"> 17,785 </w:t>
            </w:r>
          </w:p>
        </w:tc>
        <w:tc>
          <w:tcPr>
            <w:tcW w:w="1206" w:type="dxa"/>
          </w:tcPr>
          <w:p w14:paraId="6F174467" w14:textId="5EF3F5C4" w:rsidR="00DD1368" w:rsidRPr="009B5509" w:rsidRDefault="00DD1368" w:rsidP="00DD1368">
            <w:pPr>
              <w:jc w:val="center"/>
              <w:rPr>
                <w:rFonts w:ascii="Calibri" w:hAnsi="Calibri" w:cs="Calibri"/>
                <w:sz w:val="20"/>
                <w:szCs w:val="20"/>
              </w:rPr>
            </w:pPr>
            <w:r w:rsidRPr="009B5509">
              <w:rPr>
                <w:rFonts w:ascii="Calibri" w:hAnsi="Calibri" w:cs="Calibri"/>
                <w:sz w:val="20"/>
                <w:szCs w:val="20"/>
              </w:rPr>
              <w:t xml:space="preserve"> 29,417 </w:t>
            </w:r>
          </w:p>
        </w:tc>
        <w:tc>
          <w:tcPr>
            <w:tcW w:w="1020" w:type="dxa"/>
          </w:tcPr>
          <w:p w14:paraId="6AA820EC" w14:textId="32F6E1C8" w:rsidR="00DD1368" w:rsidRPr="009B5509" w:rsidRDefault="00DD1368" w:rsidP="00DD1368">
            <w:pPr>
              <w:jc w:val="center"/>
              <w:rPr>
                <w:rFonts w:ascii="Calibri" w:hAnsi="Calibri" w:cs="Calibri"/>
                <w:sz w:val="20"/>
                <w:szCs w:val="20"/>
              </w:rPr>
            </w:pPr>
            <w:r w:rsidRPr="009B5509">
              <w:rPr>
                <w:rFonts w:ascii="Calibri" w:hAnsi="Calibri" w:cs="Calibri"/>
                <w:sz w:val="20"/>
                <w:szCs w:val="20"/>
              </w:rPr>
              <w:t xml:space="preserve"> 60,488 </w:t>
            </w:r>
          </w:p>
        </w:tc>
      </w:tr>
      <w:tr w:rsidR="00DD1368" w:rsidRPr="00844F6D" w14:paraId="611DC69F" w14:textId="77777777" w:rsidTr="00A61A4B">
        <w:trPr>
          <w:jc w:val="center"/>
        </w:trPr>
        <w:tc>
          <w:tcPr>
            <w:tcW w:w="1812" w:type="dxa"/>
            <w:vAlign w:val="center"/>
          </w:tcPr>
          <w:p w14:paraId="62E1E385" w14:textId="77777777" w:rsidR="00DD1368" w:rsidRPr="00F047E1" w:rsidRDefault="00DD1368" w:rsidP="00DD1368">
            <w:pPr>
              <w:jc w:val="center"/>
              <w:rPr>
                <w:rFonts w:ascii="Calibri" w:hAnsi="Calibri" w:cs="Calibri"/>
                <w:sz w:val="20"/>
                <w:szCs w:val="20"/>
              </w:rPr>
            </w:pPr>
            <w:r w:rsidRPr="00F047E1">
              <w:rPr>
                <w:rFonts w:ascii="Calibri" w:hAnsi="Calibri" w:cs="Calibri"/>
                <w:sz w:val="20"/>
                <w:szCs w:val="20"/>
              </w:rPr>
              <w:t>Other Insurance</w:t>
            </w:r>
          </w:p>
        </w:tc>
        <w:tc>
          <w:tcPr>
            <w:tcW w:w="1460" w:type="dxa"/>
          </w:tcPr>
          <w:p w14:paraId="0EE2484D" w14:textId="788F122E" w:rsidR="00DD1368" w:rsidRPr="009B5509" w:rsidRDefault="00DD1368" w:rsidP="00DD1368">
            <w:pPr>
              <w:jc w:val="center"/>
              <w:rPr>
                <w:rFonts w:ascii="Calibri" w:hAnsi="Calibri" w:cs="Calibri"/>
                <w:sz w:val="20"/>
                <w:szCs w:val="20"/>
              </w:rPr>
            </w:pPr>
            <w:r w:rsidRPr="009B5509">
              <w:rPr>
                <w:rFonts w:ascii="Calibri" w:hAnsi="Calibri" w:cs="Calibri"/>
                <w:sz w:val="20"/>
                <w:szCs w:val="20"/>
              </w:rPr>
              <w:t xml:space="preserve"> 17,727 </w:t>
            </w:r>
          </w:p>
        </w:tc>
        <w:tc>
          <w:tcPr>
            <w:tcW w:w="1390" w:type="dxa"/>
          </w:tcPr>
          <w:p w14:paraId="19FC636E" w14:textId="1C11B67C" w:rsidR="00DD1368" w:rsidRPr="009B5509" w:rsidRDefault="00DD1368" w:rsidP="00DD1368">
            <w:pPr>
              <w:jc w:val="center"/>
              <w:rPr>
                <w:rFonts w:ascii="Calibri" w:hAnsi="Calibri" w:cs="Calibri"/>
                <w:sz w:val="20"/>
                <w:szCs w:val="20"/>
              </w:rPr>
            </w:pPr>
            <w:r w:rsidRPr="009B5509">
              <w:rPr>
                <w:rFonts w:ascii="Calibri" w:hAnsi="Calibri" w:cs="Calibri"/>
                <w:sz w:val="20"/>
                <w:szCs w:val="20"/>
              </w:rPr>
              <w:t xml:space="preserve"> 750 </w:t>
            </w:r>
          </w:p>
        </w:tc>
        <w:tc>
          <w:tcPr>
            <w:tcW w:w="1452" w:type="dxa"/>
          </w:tcPr>
          <w:p w14:paraId="027F21F2" w14:textId="0262899F" w:rsidR="00DD1368" w:rsidRPr="009B5509" w:rsidRDefault="00DD1368" w:rsidP="00DD1368">
            <w:pPr>
              <w:jc w:val="center"/>
              <w:rPr>
                <w:rFonts w:ascii="Calibri" w:hAnsi="Calibri" w:cs="Calibri"/>
                <w:sz w:val="20"/>
                <w:szCs w:val="20"/>
              </w:rPr>
            </w:pPr>
            <w:r w:rsidRPr="009B5509">
              <w:rPr>
                <w:rFonts w:ascii="Calibri" w:hAnsi="Calibri" w:cs="Calibri"/>
                <w:sz w:val="20"/>
                <w:szCs w:val="20"/>
              </w:rPr>
              <w:t xml:space="preserve"> 2,509 </w:t>
            </w:r>
          </w:p>
        </w:tc>
        <w:tc>
          <w:tcPr>
            <w:tcW w:w="1206" w:type="dxa"/>
          </w:tcPr>
          <w:p w14:paraId="6245F01E" w14:textId="3954CCEC" w:rsidR="00DD1368" w:rsidRPr="009B5509" w:rsidRDefault="00DD1368" w:rsidP="00DD1368">
            <w:pPr>
              <w:jc w:val="center"/>
              <w:rPr>
                <w:rFonts w:ascii="Calibri" w:hAnsi="Calibri" w:cs="Calibri"/>
                <w:sz w:val="20"/>
                <w:szCs w:val="20"/>
              </w:rPr>
            </w:pPr>
            <w:r w:rsidRPr="009B5509">
              <w:rPr>
                <w:rFonts w:ascii="Calibri" w:hAnsi="Calibri" w:cs="Calibri"/>
                <w:sz w:val="20"/>
                <w:szCs w:val="20"/>
              </w:rPr>
              <w:t xml:space="preserve"> 6,973 </w:t>
            </w:r>
          </w:p>
        </w:tc>
        <w:tc>
          <w:tcPr>
            <w:tcW w:w="1020" w:type="dxa"/>
          </w:tcPr>
          <w:p w14:paraId="30199960" w14:textId="7329C0CA" w:rsidR="00DD1368" w:rsidRPr="009B5509" w:rsidRDefault="00DD1368" w:rsidP="00DD1368">
            <w:pPr>
              <w:jc w:val="center"/>
              <w:rPr>
                <w:rFonts w:ascii="Calibri" w:hAnsi="Calibri" w:cs="Calibri"/>
                <w:sz w:val="20"/>
                <w:szCs w:val="20"/>
              </w:rPr>
            </w:pPr>
            <w:r w:rsidRPr="009B5509">
              <w:rPr>
                <w:rFonts w:ascii="Calibri" w:hAnsi="Calibri" w:cs="Calibri"/>
                <w:sz w:val="20"/>
                <w:szCs w:val="20"/>
              </w:rPr>
              <w:t xml:space="preserve"> 13,544 </w:t>
            </w:r>
          </w:p>
        </w:tc>
      </w:tr>
      <w:tr w:rsidR="00DD1368" w:rsidRPr="00844F6D" w14:paraId="4A89E1CC" w14:textId="77777777" w:rsidTr="00A61A4B">
        <w:trPr>
          <w:jc w:val="center"/>
        </w:trPr>
        <w:tc>
          <w:tcPr>
            <w:tcW w:w="1812" w:type="dxa"/>
            <w:vAlign w:val="center"/>
          </w:tcPr>
          <w:p w14:paraId="4E59BE4B" w14:textId="77777777" w:rsidR="00DD1368" w:rsidRPr="00F047E1" w:rsidRDefault="00DD1368" w:rsidP="00DD1368">
            <w:pPr>
              <w:jc w:val="center"/>
              <w:rPr>
                <w:rFonts w:ascii="Calibri" w:hAnsi="Calibri" w:cs="Calibri"/>
                <w:sz w:val="20"/>
                <w:szCs w:val="20"/>
              </w:rPr>
            </w:pPr>
            <w:r w:rsidRPr="00F047E1">
              <w:rPr>
                <w:rFonts w:ascii="Calibri" w:hAnsi="Calibri" w:cs="Calibri"/>
                <w:sz w:val="20"/>
                <w:szCs w:val="20"/>
              </w:rPr>
              <w:t>Uninsured</w:t>
            </w:r>
          </w:p>
        </w:tc>
        <w:tc>
          <w:tcPr>
            <w:tcW w:w="1460" w:type="dxa"/>
          </w:tcPr>
          <w:p w14:paraId="63E618BD" w14:textId="3F7787FF" w:rsidR="00DD1368" w:rsidRPr="009B5509" w:rsidRDefault="00DD1368" w:rsidP="00DD1368">
            <w:pPr>
              <w:jc w:val="center"/>
              <w:rPr>
                <w:rFonts w:ascii="Calibri" w:hAnsi="Calibri" w:cs="Calibri"/>
                <w:sz w:val="20"/>
                <w:szCs w:val="20"/>
              </w:rPr>
            </w:pPr>
            <w:r w:rsidRPr="009B5509">
              <w:rPr>
                <w:rFonts w:ascii="Calibri" w:hAnsi="Calibri" w:cs="Calibri"/>
                <w:sz w:val="20"/>
                <w:szCs w:val="20"/>
              </w:rPr>
              <w:t>10</w:t>
            </w:r>
            <w:r w:rsidR="00990E2B">
              <w:rPr>
                <w:rFonts w:ascii="Calibri" w:hAnsi="Calibri" w:cs="Calibri"/>
                <w:sz w:val="20"/>
                <w:szCs w:val="20"/>
              </w:rPr>
              <w:t>,</w:t>
            </w:r>
            <w:r w:rsidRPr="009B5509">
              <w:rPr>
                <w:rFonts w:ascii="Calibri" w:hAnsi="Calibri" w:cs="Calibri"/>
                <w:sz w:val="20"/>
                <w:szCs w:val="20"/>
              </w:rPr>
              <w:t>194</w:t>
            </w:r>
          </w:p>
        </w:tc>
        <w:tc>
          <w:tcPr>
            <w:tcW w:w="1390" w:type="dxa"/>
          </w:tcPr>
          <w:p w14:paraId="0D4FEE2B" w14:textId="0B9387F9" w:rsidR="00DD1368" w:rsidRPr="009B5509" w:rsidRDefault="00DD1368" w:rsidP="00DD1368">
            <w:pPr>
              <w:jc w:val="center"/>
              <w:rPr>
                <w:rFonts w:ascii="Calibri" w:hAnsi="Calibri" w:cs="Calibri"/>
                <w:sz w:val="20"/>
                <w:szCs w:val="20"/>
              </w:rPr>
            </w:pPr>
            <w:r w:rsidRPr="009B5509">
              <w:rPr>
                <w:rFonts w:ascii="Calibri" w:hAnsi="Calibri" w:cs="Calibri"/>
                <w:sz w:val="20"/>
                <w:szCs w:val="20"/>
              </w:rPr>
              <w:t>501</w:t>
            </w:r>
          </w:p>
        </w:tc>
        <w:tc>
          <w:tcPr>
            <w:tcW w:w="1452" w:type="dxa"/>
          </w:tcPr>
          <w:p w14:paraId="4E70A37D" w14:textId="67A9193A" w:rsidR="00DD1368" w:rsidRPr="009B5509" w:rsidRDefault="00DD1368" w:rsidP="00DD1368">
            <w:pPr>
              <w:jc w:val="center"/>
              <w:rPr>
                <w:rFonts w:ascii="Calibri" w:hAnsi="Calibri" w:cs="Calibri"/>
                <w:sz w:val="20"/>
                <w:szCs w:val="20"/>
              </w:rPr>
            </w:pPr>
            <w:r w:rsidRPr="009B5509">
              <w:rPr>
                <w:rFonts w:ascii="Calibri" w:hAnsi="Calibri" w:cs="Calibri"/>
                <w:sz w:val="20"/>
                <w:szCs w:val="20"/>
              </w:rPr>
              <w:t>4</w:t>
            </w:r>
            <w:r w:rsidR="00990E2B">
              <w:rPr>
                <w:rFonts w:ascii="Calibri" w:hAnsi="Calibri" w:cs="Calibri"/>
                <w:sz w:val="20"/>
                <w:szCs w:val="20"/>
              </w:rPr>
              <w:t>,</w:t>
            </w:r>
            <w:r w:rsidRPr="009B5509">
              <w:rPr>
                <w:rFonts w:ascii="Calibri" w:hAnsi="Calibri" w:cs="Calibri"/>
                <w:sz w:val="20"/>
                <w:szCs w:val="20"/>
              </w:rPr>
              <w:t>232</w:t>
            </w:r>
          </w:p>
        </w:tc>
        <w:tc>
          <w:tcPr>
            <w:tcW w:w="1206" w:type="dxa"/>
          </w:tcPr>
          <w:p w14:paraId="523CD145" w14:textId="5D39ACDF" w:rsidR="00DD1368" w:rsidRPr="009B5509" w:rsidRDefault="00DD1368" w:rsidP="00DD1368">
            <w:pPr>
              <w:jc w:val="center"/>
              <w:rPr>
                <w:rFonts w:ascii="Calibri" w:hAnsi="Calibri" w:cs="Calibri"/>
                <w:sz w:val="20"/>
                <w:szCs w:val="20"/>
              </w:rPr>
            </w:pPr>
            <w:r w:rsidRPr="009B5509">
              <w:rPr>
                <w:rFonts w:ascii="Calibri" w:hAnsi="Calibri" w:cs="Calibri"/>
                <w:sz w:val="20"/>
                <w:szCs w:val="20"/>
              </w:rPr>
              <w:t>15</w:t>
            </w:r>
            <w:r w:rsidR="00990E2B">
              <w:rPr>
                <w:rFonts w:ascii="Calibri" w:hAnsi="Calibri" w:cs="Calibri"/>
                <w:sz w:val="20"/>
                <w:szCs w:val="20"/>
              </w:rPr>
              <w:t>,</w:t>
            </w:r>
            <w:r w:rsidRPr="009B5509">
              <w:rPr>
                <w:rFonts w:ascii="Calibri" w:hAnsi="Calibri" w:cs="Calibri"/>
                <w:sz w:val="20"/>
                <w:szCs w:val="20"/>
              </w:rPr>
              <w:t>822</w:t>
            </w:r>
          </w:p>
        </w:tc>
        <w:tc>
          <w:tcPr>
            <w:tcW w:w="1020" w:type="dxa"/>
          </w:tcPr>
          <w:p w14:paraId="02351C43" w14:textId="16A4A904" w:rsidR="00DD1368" w:rsidRPr="009B5509" w:rsidRDefault="00DD1368" w:rsidP="00DD1368">
            <w:pPr>
              <w:jc w:val="center"/>
              <w:rPr>
                <w:rFonts w:ascii="Calibri" w:hAnsi="Calibri" w:cs="Calibri"/>
                <w:sz w:val="20"/>
                <w:szCs w:val="20"/>
              </w:rPr>
            </w:pPr>
            <w:r w:rsidRPr="009B5509">
              <w:rPr>
                <w:rFonts w:ascii="Calibri" w:hAnsi="Calibri" w:cs="Calibri"/>
                <w:sz w:val="20"/>
                <w:szCs w:val="20"/>
              </w:rPr>
              <w:t>18331</w:t>
            </w:r>
          </w:p>
        </w:tc>
      </w:tr>
    </w:tbl>
    <w:p w14:paraId="6463CD88" w14:textId="26A83671" w:rsidR="00546EC3" w:rsidRPr="00C0133E" w:rsidRDefault="003F400A" w:rsidP="00F46923">
      <w:pPr>
        <w:spacing w:before="60"/>
        <w:ind w:left="540"/>
        <w:rPr>
          <w:highlight w:val="magenta"/>
        </w:rPr>
      </w:pPr>
      <w:r w:rsidRPr="00D23FB9">
        <w:rPr>
          <w:b/>
          <w:i/>
          <w:color w:val="000000" w:themeColor="text1"/>
          <w:sz w:val="18"/>
          <w:szCs w:val="18"/>
          <w:vertAlign w:val="superscript"/>
        </w:rPr>
        <w:t>1</w:t>
      </w:r>
      <w:r w:rsidRPr="00D23FB9">
        <w:rPr>
          <w:i/>
          <w:color w:val="000000" w:themeColor="text1"/>
          <w:sz w:val="18"/>
          <w:szCs w:val="18"/>
          <w:vertAlign w:val="superscript"/>
        </w:rPr>
        <w:t xml:space="preserve"> </w:t>
      </w:r>
      <w:r w:rsidRPr="00D23FB9">
        <w:rPr>
          <w:i/>
          <w:color w:val="000000" w:themeColor="text1"/>
          <w:sz w:val="18"/>
          <w:szCs w:val="18"/>
        </w:rPr>
        <w:t>Insurance status for a small number of the total individuals was unknown.</w:t>
      </w:r>
      <w:r w:rsidR="00EF447E" w:rsidRPr="00C0133E">
        <w:rPr>
          <w:i/>
          <w:sz w:val="22"/>
          <w:szCs w:val="22"/>
          <w:highlight w:val="magenta"/>
        </w:rPr>
        <w:br/>
      </w:r>
    </w:p>
    <w:p w14:paraId="44C996BD" w14:textId="387E8974" w:rsidR="00775C3B" w:rsidRPr="003E1E80" w:rsidRDefault="00775C3B" w:rsidP="00F46923">
      <w:pPr>
        <w:pStyle w:val="ListParagraph"/>
        <w:spacing w:line="240" w:lineRule="auto"/>
        <w:ind w:left="0"/>
        <w:rPr>
          <w:rFonts w:ascii="Times New Roman" w:hAnsi="Times New Roman"/>
          <w:sz w:val="24"/>
        </w:rPr>
      </w:pPr>
      <w:r w:rsidRPr="003E1E80">
        <w:rPr>
          <w:rFonts w:ascii="Times New Roman" w:hAnsi="Times New Roman"/>
          <w:sz w:val="24"/>
        </w:rPr>
        <w:t xml:space="preserve">Figure </w:t>
      </w:r>
      <w:r w:rsidR="007E5D0B">
        <w:rPr>
          <w:rFonts w:ascii="Times New Roman" w:hAnsi="Times New Roman"/>
          <w:sz w:val="24"/>
        </w:rPr>
        <w:t>12</w:t>
      </w:r>
      <w:r w:rsidRPr="003E1E80">
        <w:rPr>
          <w:rFonts w:ascii="Times New Roman" w:hAnsi="Times New Roman"/>
          <w:sz w:val="24"/>
        </w:rPr>
        <w:t>, below, shows the types of residence</w:t>
      </w:r>
      <w:r w:rsidR="00554A5A">
        <w:rPr>
          <w:rFonts w:ascii="Times New Roman" w:hAnsi="Times New Roman"/>
          <w:sz w:val="24"/>
        </w:rPr>
        <w:t>s</w:t>
      </w:r>
      <w:r w:rsidRPr="003E1E80">
        <w:rPr>
          <w:rFonts w:ascii="Times New Roman" w:hAnsi="Times New Roman"/>
          <w:sz w:val="24"/>
        </w:rPr>
        <w:t xml:space="preserve"> data for individuals who received mental health, developmental, or </w:t>
      </w:r>
      <w:r w:rsidR="00554A5A">
        <w:rPr>
          <w:rFonts w:ascii="Times New Roman" w:hAnsi="Times New Roman"/>
          <w:sz w:val="24"/>
        </w:rPr>
        <w:t>substance use disorder services.</w:t>
      </w:r>
    </w:p>
    <w:tbl>
      <w:tblPr>
        <w:tblW w:w="827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 w:type="dxa"/>
          <w:right w:w="14" w:type="dxa"/>
        </w:tblCellMar>
        <w:tblLook w:val="04A0" w:firstRow="1" w:lastRow="0" w:firstColumn="1" w:lastColumn="0" w:noHBand="0" w:noVBand="1"/>
      </w:tblPr>
      <w:tblGrid>
        <w:gridCol w:w="5125"/>
        <w:gridCol w:w="1170"/>
        <w:gridCol w:w="1080"/>
        <w:gridCol w:w="900"/>
      </w:tblGrid>
      <w:tr w:rsidR="00775C3B" w:rsidRPr="00844F6D" w14:paraId="57F4C766" w14:textId="77777777" w:rsidTr="00A61A4B">
        <w:trPr>
          <w:jc w:val="center"/>
        </w:trPr>
        <w:tc>
          <w:tcPr>
            <w:tcW w:w="8275" w:type="dxa"/>
            <w:gridSpan w:val="4"/>
            <w:vAlign w:val="center"/>
          </w:tcPr>
          <w:p w14:paraId="04A8BA03" w14:textId="77777777" w:rsidR="00775C3B" w:rsidRPr="00F047E1" w:rsidRDefault="00775C3B" w:rsidP="00F46923">
            <w:pPr>
              <w:jc w:val="center"/>
              <w:rPr>
                <w:rFonts w:ascii="Calibri" w:hAnsi="Calibri" w:cs="Calibri"/>
                <w:sz w:val="20"/>
                <w:szCs w:val="20"/>
              </w:rPr>
            </w:pPr>
            <w:r w:rsidRPr="009B5509">
              <w:rPr>
                <w:rFonts w:ascii="Calibri" w:hAnsi="Calibri" w:cs="Calibri"/>
                <w:b/>
                <w:color w:val="365F91" w:themeColor="accent1" w:themeShade="BF"/>
                <w:sz w:val="20"/>
                <w:szCs w:val="20"/>
              </w:rPr>
              <w:t>Figure 12</w:t>
            </w:r>
            <w:r w:rsidRPr="00F047E1">
              <w:rPr>
                <w:rFonts w:ascii="Calibri" w:hAnsi="Calibri" w:cs="Calibri"/>
                <w:b/>
                <w:color w:val="365F91" w:themeColor="accent1" w:themeShade="BF"/>
                <w:sz w:val="20"/>
                <w:szCs w:val="20"/>
              </w:rPr>
              <w:t>:  Types of Residences</w:t>
            </w:r>
          </w:p>
        </w:tc>
      </w:tr>
      <w:tr w:rsidR="00775C3B" w:rsidRPr="00844F6D" w14:paraId="451B0EB8" w14:textId="77777777" w:rsidTr="00DD1368">
        <w:trPr>
          <w:jc w:val="center"/>
        </w:trPr>
        <w:tc>
          <w:tcPr>
            <w:tcW w:w="5125" w:type="dxa"/>
            <w:vAlign w:val="center"/>
          </w:tcPr>
          <w:p w14:paraId="64928ABD" w14:textId="77777777" w:rsidR="00775C3B" w:rsidRPr="00F047E1" w:rsidRDefault="00775C3B" w:rsidP="00F46923">
            <w:pPr>
              <w:jc w:val="center"/>
              <w:rPr>
                <w:rFonts w:ascii="Calibri" w:hAnsi="Calibri" w:cs="Calibri"/>
                <w:sz w:val="20"/>
                <w:szCs w:val="20"/>
              </w:rPr>
            </w:pPr>
            <w:r w:rsidRPr="00F047E1">
              <w:rPr>
                <w:rFonts w:ascii="Calibri" w:hAnsi="Calibri" w:cs="Calibri"/>
                <w:b/>
                <w:bCs/>
                <w:color w:val="000000"/>
                <w:sz w:val="20"/>
                <w:szCs w:val="20"/>
              </w:rPr>
              <w:t>Residence Status</w:t>
            </w:r>
          </w:p>
        </w:tc>
        <w:tc>
          <w:tcPr>
            <w:tcW w:w="1170" w:type="dxa"/>
            <w:vAlign w:val="center"/>
          </w:tcPr>
          <w:p w14:paraId="64E16A12" w14:textId="77777777" w:rsidR="00775C3B" w:rsidRPr="00F047E1" w:rsidRDefault="00775C3B" w:rsidP="00F46923">
            <w:pPr>
              <w:jc w:val="center"/>
              <w:rPr>
                <w:rFonts w:ascii="Calibri" w:hAnsi="Calibri" w:cs="Calibri"/>
                <w:sz w:val="20"/>
                <w:szCs w:val="20"/>
              </w:rPr>
            </w:pPr>
            <w:r w:rsidRPr="00F047E1">
              <w:rPr>
                <w:rFonts w:ascii="Calibri" w:hAnsi="Calibri" w:cs="Calibri"/>
                <w:b/>
                <w:bCs/>
                <w:color w:val="000000"/>
                <w:sz w:val="20"/>
                <w:szCs w:val="20"/>
              </w:rPr>
              <w:t>MH</w:t>
            </w:r>
          </w:p>
        </w:tc>
        <w:tc>
          <w:tcPr>
            <w:tcW w:w="1080" w:type="dxa"/>
            <w:vAlign w:val="center"/>
          </w:tcPr>
          <w:p w14:paraId="36AF2695" w14:textId="77777777" w:rsidR="00775C3B" w:rsidRPr="00F047E1" w:rsidRDefault="00775C3B" w:rsidP="00F46923">
            <w:pPr>
              <w:jc w:val="center"/>
              <w:rPr>
                <w:rFonts w:ascii="Calibri" w:hAnsi="Calibri" w:cs="Calibri"/>
                <w:sz w:val="20"/>
                <w:szCs w:val="20"/>
              </w:rPr>
            </w:pPr>
            <w:r w:rsidRPr="00F047E1">
              <w:rPr>
                <w:rFonts w:ascii="Calibri" w:hAnsi="Calibri" w:cs="Calibri"/>
                <w:b/>
                <w:bCs/>
                <w:color w:val="000000"/>
                <w:sz w:val="20"/>
                <w:szCs w:val="20"/>
              </w:rPr>
              <w:t>DV</w:t>
            </w:r>
          </w:p>
        </w:tc>
        <w:tc>
          <w:tcPr>
            <w:tcW w:w="900" w:type="dxa"/>
            <w:vAlign w:val="center"/>
          </w:tcPr>
          <w:p w14:paraId="7867E722" w14:textId="77777777" w:rsidR="00775C3B" w:rsidRPr="00F047E1" w:rsidRDefault="00775C3B" w:rsidP="00F46923">
            <w:pPr>
              <w:jc w:val="center"/>
              <w:rPr>
                <w:rFonts w:ascii="Calibri" w:hAnsi="Calibri" w:cs="Calibri"/>
                <w:sz w:val="20"/>
                <w:szCs w:val="20"/>
              </w:rPr>
            </w:pPr>
            <w:r w:rsidRPr="00F047E1">
              <w:rPr>
                <w:rFonts w:ascii="Calibri" w:hAnsi="Calibri" w:cs="Calibri"/>
                <w:b/>
                <w:bCs/>
                <w:color w:val="000000"/>
                <w:sz w:val="20"/>
                <w:szCs w:val="20"/>
              </w:rPr>
              <w:t>SA</w:t>
            </w:r>
          </w:p>
        </w:tc>
      </w:tr>
      <w:tr w:rsidR="00DD1368" w:rsidRPr="00844F6D" w14:paraId="4A037886" w14:textId="77777777" w:rsidTr="00DD1368">
        <w:trPr>
          <w:jc w:val="center"/>
        </w:trPr>
        <w:tc>
          <w:tcPr>
            <w:tcW w:w="5125" w:type="dxa"/>
            <w:vAlign w:val="center"/>
          </w:tcPr>
          <w:p w14:paraId="3A107CFD" w14:textId="77777777" w:rsidR="00DD1368" w:rsidRPr="00F047E1" w:rsidRDefault="00DD1368" w:rsidP="00DD1368">
            <w:pPr>
              <w:rPr>
                <w:rFonts w:ascii="Calibri" w:hAnsi="Calibri" w:cs="Calibri"/>
                <w:i/>
                <w:sz w:val="20"/>
                <w:szCs w:val="20"/>
              </w:rPr>
            </w:pPr>
            <w:r w:rsidRPr="00F047E1">
              <w:rPr>
                <w:rFonts w:ascii="Calibri" w:hAnsi="Calibri" w:cs="Calibri"/>
                <w:bCs/>
                <w:color w:val="000000"/>
                <w:sz w:val="20"/>
                <w:szCs w:val="20"/>
              </w:rPr>
              <w:t>Private Residence/Household</w:t>
            </w:r>
          </w:p>
        </w:tc>
        <w:tc>
          <w:tcPr>
            <w:tcW w:w="1170" w:type="dxa"/>
          </w:tcPr>
          <w:p w14:paraId="2597CF14" w14:textId="2493E31F" w:rsidR="00DD1368" w:rsidRPr="009B5509" w:rsidRDefault="00DD1368" w:rsidP="00DD1368">
            <w:pPr>
              <w:jc w:val="center"/>
              <w:rPr>
                <w:rFonts w:asciiTheme="minorHAnsi" w:hAnsiTheme="minorHAnsi" w:cstheme="minorHAnsi"/>
                <w:i/>
                <w:sz w:val="20"/>
                <w:szCs w:val="20"/>
              </w:rPr>
            </w:pPr>
            <w:r w:rsidRPr="009B5509">
              <w:rPr>
                <w:rFonts w:asciiTheme="minorHAnsi" w:hAnsiTheme="minorHAnsi" w:cstheme="minorHAnsi"/>
                <w:sz w:val="20"/>
                <w:szCs w:val="20"/>
              </w:rPr>
              <w:t>10</w:t>
            </w:r>
            <w:r w:rsidR="009B5509">
              <w:rPr>
                <w:rFonts w:asciiTheme="minorHAnsi" w:hAnsiTheme="minorHAnsi" w:cstheme="minorHAnsi"/>
                <w:sz w:val="20"/>
                <w:szCs w:val="20"/>
              </w:rPr>
              <w:t>,</w:t>
            </w:r>
            <w:r w:rsidRPr="009B5509">
              <w:rPr>
                <w:rFonts w:asciiTheme="minorHAnsi" w:hAnsiTheme="minorHAnsi" w:cstheme="minorHAnsi"/>
                <w:sz w:val="20"/>
                <w:szCs w:val="20"/>
              </w:rPr>
              <w:t>1065</w:t>
            </w:r>
          </w:p>
        </w:tc>
        <w:tc>
          <w:tcPr>
            <w:tcW w:w="1080" w:type="dxa"/>
          </w:tcPr>
          <w:p w14:paraId="4BEFEB96" w14:textId="587CDEDF" w:rsidR="00DD1368" w:rsidRPr="009B5509" w:rsidRDefault="00DD1368" w:rsidP="00DD1368">
            <w:pPr>
              <w:jc w:val="center"/>
              <w:rPr>
                <w:rFonts w:asciiTheme="minorHAnsi" w:hAnsiTheme="minorHAnsi" w:cstheme="minorHAnsi"/>
                <w:i/>
                <w:sz w:val="20"/>
                <w:szCs w:val="20"/>
              </w:rPr>
            </w:pPr>
            <w:r w:rsidRPr="009B5509">
              <w:rPr>
                <w:rFonts w:asciiTheme="minorHAnsi" w:hAnsiTheme="minorHAnsi" w:cstheme="minorHAnsi"/>
                <w:sz w:val="20"/>
                <w:szCs w:val="20"/>
              </w:rPr>
              <w:t>16</w:t>
            </w:r>
            <w:r w:rsidR="009B5509">
              <w:rPr>
                <w:rFonts w:asciiTheme="minorHAnsi" w:hAnsiTheme="minorHAnsi" w:cstheme="minorHAnsi"/>
                <w:sz w:val="20"/>
                <w:szCs w:val="20"/>
              </w:rPr>
              <w:t>,</w:t>
            </w:r>
            <w:r w:rsidRPr="009B5509">
              <w:rPr>
                <w:rFonts w:asciiTheme="minorHAnsi" w:hAnsiTheme="minorHAnsi" w:cstheme="minorHAnsi"/>
                <w:sz w:val="20"/>
                <w:szCs w:val="20"/>
              </w:rPr>
              <w:t>241</w:t>
            </w:r>
          </w:p>
        </w:tc>
        <w:tc>
          <w:tcPr>
            <w:tcW w:w="900" w:type="dxa"/>
          </w:tcPr>
          <w:p w14:paraId="4E2DB19B" w14:textId="497EFD35" w:rsidR="00DD1368" w:rsidRPr="009B5509" w:rsidRDefault="00DD1368" w:rsidP="00DD1368">
            <w:pPr>
              <w:jc w:val="center"/>
              <w:rPr>
                <w:rFonts w:asciiTheme="minorHAnsi" w:hAnsiTheme="minorHAnsi" w:cstheme="minorHAnsi"/>
                <w:i/>
                <w:sz w:val="20"/>
                <w:szCs w:val="20"/>
              </w:rPr>
            </w:pPr>
            <w:r w:rsidRPr="009B5509">
              <w:rPr>
                <w:rFonts w:asciiTheme="minorHAnsi" w:hAnsiTheme="minorHAnsi" w:cstheme="minorHAnsi"/>
                <w:sz w:val="20"/>
                <w:szCs w:val="20"/>
              </w:rPr>
              <w:t>20</w:t>
            </w:r>
            <w:r w:rsidR="009B5509">
              <w:rPr>
                <w:rFonts w:asciiTheme="minorHAnsi" w:hAnsiTheme="minorHAnsi" w:cstheme="minorHAnsi"/>
                <w:sz w:val="20"/>
                <w:szCs w:val="20"/>
              </w:rPr>
              <w:t>,</w:t>
            </w:r>
            <w:r w:rsidRPr="009B5509">
              <w:rPr>
                <w:rFonts w:asciiTheme="minorHAnsi" w:hAnsiTheme="minorHAnsi" w:cstheme="minorHAnsi"/>
                <w:sz w:val="20"/>
                <w:szCs w:val="20"/>
              </w:rPr>
              <w:t>148</w:t>
            </w:r>
          </w:p>
        </w:tc>
      </w:tr>
      <w:tr w:rsidR="00DD1368" w:rsidRPr="00844F6D" w14:paraId="4BBCD04A" w14:textId="77777777" w:rsidTr="00DD1368">
        <w:trPr>
          <w:jc w:val="center"/>
        </w:trPr>
        <w:tc>
          <w:tcPr>
            <w:tcW w:w="5125" w:type="dxa"/>
            <w:vAlign w:val="center"/>
          </w:tcPr>
          <w:p w14:paraId="02339822" w14:textId="77777777" w:rsidR="00DD1368" w:rsidRPr="00F047E1" w:rsidRDefault="00DD1368" w:rsidP="00DD1368">
            <w:pPr>
              <w:rPr>
                <w:rFonts w:ascii="Calibri" w:hAnsi="Calibri" w:cs="Calibri"/>
                <w:sz w:val="20"/>
                <w:szCs w:val="20"/>
              </w:rPr>
            </w:pPr>
            <w:r w:rsidRPr="00F047E1">
              <w:rPr>
                <w:rFonts w:ascii="Calibri" w:hAnsi="Calibri" w:cs="Calibri"/>
                <w:bCs/>
                <w:color w:val="000000"/>
                <w:sz w:val="20"/>
                <w:szCs w:val="20"/>
              </w:rPr>
              <w:t>Shelter</w:t>
            </w:r>
          </w:p>
        </w:tc>
        <w:tc>
          <w:tcPr>
            <w:tcW w:w="1170" w:type="dxa"/>
          </w:tcPr>
          <w:p w14:paraId="105FEF9A" w14:textId="593706E1"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820</w:t>
            </w:r>
          </w:p>
        </w:tc>
        <w:tc>
          <w:tcPr>
            <w:tcW w:w="1080" w:type="dxa"/>
          </w:tcPr>
          <w:p w14:paraId="4B77909B" w14:textId="0CAAE61E"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20</w:t>
            </w:r>
          </w:p>
        </w:tc>
        <w:tc>
          <w:tcPr>
            <w:tcW w:w="900" w:type="dxa"/>
          </w:tcPr>
          <w:p w14:paraId="44F37ADA" w14:textId="386C35E6"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254</w:t>
            </w:r>
          </w:p>
        </w:tc>
      </w:tr>
      <w:tr w:rsidR="00DD1368" w:rsidRPr="00844F6D" w14:paraId="26441EC2" w14:textId="77777777" w:rsidTr="00DD1368">
        <w:trPr>
          <w:jc w:val="center"/>
        </w:trPr>
        <w:tc>
          <w:tcPr>
            <w:tcW w:w="5125" w:type="dxa"/>
            <w:vAlign w:val="center"/>
          </w:tcPr>
          <w:p w14:paraId="258F9195" w14:textId="77777777" w:rsidR="00DD1368" w:rsidRPr="00F047E1" w:rsidRDefault="00DD1368" w:rsidP="00DD1368">
            <w:pPr>
              <w:rPr>
                <w:rFonts w:ascii="Calibri" w:hAnsi="Calibri" w:cs="Calibri"/>
                <w:sz w:val="20"/>
                <w:szCs w:val="20"/>
              </w:rPr>
            </w:pPr>
            <w:r w:rsidRPr="00F047E1">
              <w:rPr>
                <w:rFonts w:ascii="Calibri" w:hAnsi="Calibri" w:cs="Calibri"/>
                <w:bCs/>
                <w:color w:val="000000"/>
                <w:sz w:val="20"/>
                <w:szCs w:val="20"/>
              </w:rPr>
              <w:t>Boarding Home</w:t>
            </w:r>
          </w:p>
        </w:tc>
        <w:tc>
          <w:tcPr>
            <w:tcW w:w="1170" w:type="dxa"/>
          </w:tcPr>
          <w:p w14:paraId="0FD0CDC9" w14:textId="39B43D88"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529</w:t>
            </w:r>
          </w:p>
        </w:tc>
        <w:tc>
          <w:tcPr>
            <w:tcW w:w="1080" w:type="dxa"/>
          </w:tcPr>
          <w:p w14:paraId="58734487" w14:textId="46C27EB5"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110</w:t>
            </w:r>
          </w:p>
        </w:tc>
        <w:tc>
          <w:tcPr>
            <w:tcW w:w="900" w:type="dxa"/>
          </w:tcPr>
          <w:p w14:paraId="5918C4D6" w14:textId="0DF2AC0F"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130</w:t>
            </w:r>
          </w:p>
        </w:tc>
      </w:tr>
      <w:tr w:rsidR="00DD1368" w:rsidRPr="00844F6D" w14:paraId="017FBDFB" w14:textId="77777777" w:rsidTr="00DD1368">
        <w:trPr>
          <w:jc w:val="center"/>
        </w:trPr>
        <w:tc>
          <w:tcPr>
            <w:tcW w:w="5125" w:type="dxa"/>
            <w:vAlign w:val="center"/>
          </w:tcPr>
          <w:p w14:paraId="1E5CCA3A" w14:textId="77777777" w:rsidR="00DD1368" w:rsidRPr="00F047E1" w:rsidRDefault="00DD1368" w:rsidP="00DD1368">
            <w:pPr>
              <w:rPr>
                <w:rFonts w:ascii="Calibri" w:hAnsi="Calibri" w:cs="Calibri"/>
                <w:sz w:val="20"/>
                <w:szCs w:val="20"/>
              </w:rPr>
            </w:pPr>
            <w:r w:rsidRPr="00F047E1">
              <w:rPr>
                <w:rFonts w:ascii="Calibri" w:hAnsi="Calibri" w:cs="Calibri"/>
                <w:bCs/>
                <w:color w:val="000000"/>
                <w:sz w:val="20"/>
                <w:szCs w:val="20"/>
              </w:rPr>
              <w:t>Foster Home/Family sponsor</w:t>
            </w:r>
          </w:p>
        </w:tc>
        <w:tc>
          <w:tcPr>
            <w:tcW w:w="1170" w:type="dxa"/>
          </w:tcPr>
          <w:p w14:paraId="68C6CD10" w14:textId="1A73903A"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923</w:t>
            </w:r>
          </w:p>
        </w:tc>
        <w:tc>
          <w:tcPr>
            <w:tcW w:w="1080" w:type="dxa"/>
          </w:tcPr>
          <w:p w14:paraId="2DB5CF48" w14:textId="2569496C"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738</w:t>
            </w:r>
          </w:p>
        </w:tc>
        <w:tc>
          <w:tcPr>
            <w:tcW w:w="900" w:type="dxa"/>
          </w:tcPr>
          <w:p w14:paraId="32DDC949" w14:textId="50375D7C"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17</w:t>
            </w:r>
          </w:p>
        </w:tc>
      </w:tr>
      <w:tr w:rsidR="00DD1368" w:rsidRPr="00844F6D" w14:paraId="6C0BC91B" w14:textId="77777777" w:rsidTr="00DD1368">
        <w:trPr>
          <w:jc w:val="center"/>
        </w:trPr>
        <w:tc>
          <w:tcPr>
            <w:tcW w:w="5125" w:type="dxa"/>
            <w:vAlign w:val="center"/>
          </w:tcPr>
          <w:p w14:paraId="1CA7EC1A" w14:textId="77777777" w:rsidR="00DD1368" w:rsidRPr="00F047E1" w:rsidRDefault="00DD1368" w:rsidP="00DD1368">
            <w:pPr>
              <w:rPr>
                <w:rFonts w:ascii="Calibri" w:hAnsi="Calibri" w:cs="Calibri"/>
                <w:sz w:val="20"/>
                <w:szCs w:val="20"/>
              </w:rPr>
            </w:pPr>
            <w:r w:rsidRPr="00F047E1">
              <w:rPr>
                <w:rFonts w:ascii="Calibri" w:hAnsi="Calibri" w:cs="Calibri"/>
                <w:bCs/>
                <w:color w:val="000000"/>
                <w:sz w:val="20"/>
                <w:szCs w:val="20"/>
              </w:rPr>
              <w:t>Licensed Home for Adults (CSB or non-CSB)</w:t>
            </w:r>
          </w:p>
        </w:tc>
        <w:tc>
          <w:tcPr>
            <w:tcW w:w="1170" w:type="dxa"/>
          </w:tcPr>
          <w:p w14:paraId="71195179" w14:textId="27C4BF2F"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2</w:t>
            </w:r>
            <w:r w:rsidR="009B5509">
              <w:rPr>
                <w:rFonts w:asciiTheme="minorHAnsi" w:hAnsiTheme="minorHAnsi" w:cstheme="minorHAnsi"/>
                <w:sz w:val="20"/>
                <w:szCs w:val="20"/>
              </w:rPr>
              <w:t>,</w:t>
            </w:r>
            <w:r w:rsidRPr="009B5509">
              <w:rPr>
                <w:rFonts w:asciiTheme="minorHAnsi" w:hAnsiTheme="minorHAnsi" w:cstheme="minorHAnsi"/>
                <w:sz w:val="20"/>
                <w:szCs w:val="20"/>
              </w:rPr>
              <w:t>274</w:t>
            </w:r>
          </w:p>
        </w:tc>
        <w:tc>
          <w:tcPr>
            <w:tcW w:w="1080" w:type="dxa"/>
          </w:tcPr>
          <w:p w14:paraId="735784DB" w14:textId="33473788"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827</w:t>
            </w:r>
          </w:p>
        </w:tc>
        <w:tc>
          <w:tcPr>
            <w:tcW w:w="900" w:type="dxa"/>
          </w:tcPr>
          <w:p w14:paraId="7F90AB62" w14:textId="44E2DB63"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26</w:t>
            </w:r>
          </w:p>
        </w:tc>
      </w:tr>
      <w:tr w:rsidR="00DD1368" w:rsidRPr="00844F6D" w14:paraId="79C4BC23" w14:textId="77777777" w:rsidTr="00DD1368">
        <w:trPr>
          <w:jc w:val="center"/>
        </w:trPr>
        <w:tc>
          <w:tcPr>
            <w:tcW w:w="5125" w:type="dxa"/>
            <w:vAlign w:val="center"/>
          </w:tcPr>
          <w:p w14:paraId="1B2F106A" w14:textId="77777777" w:rsidR="00DD1368" w:rsidRPr="00F047E1" w:rsidRDefault="00DD1368" w:rsidP="00DD1368">
            <w:pPr>
              <w:rPr>
                <w:rFonts w:ascii="Calibri" w:hAnsi="Calibri" w:cs="Calibri"/>
                <w:sz w:val="20"/>
                <w:szCs w:val="20"/>
              </w:rPr>
            </w:pPr>
            <w:r w:rsidRPr="00F047E1">
              <w:rPr>
                <w:rFonts w:ascii="Calibri" w:hAnsi="Calibri" w:cs="Calibri"/>
                <w:bCs/>
                <w:color w:val="000000"/>
                <w:sz w:val="20"/>
                <w:szCs w:val="20"/>
              </w:rPr>
              <w:t>Community Residential</w:t>
            </w:r>
          </w:p>
        </w:tc>
        <w:tc>
          <w:tcPr>
            <w:tcW w:w="1170" w:type="dxa"/>
          </w:tcPr>
          <w:p w14:paraId="779572DE" w14:textId="41E73B40"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2</w:t>
            </w:r>
            <w:r w:rsidR="009B5509">
              <w:rPr>
                <w:rFonts w:asciiTheme="minorHAnsi" w:hAnsiTheme="minorHAnsi" w:cstheme="minorHAnsi"/>
                <w:sz w:val="20"/>
                <w:szCs w:val="20"/>
              </w:rPr>
              <w:t>,</w:t>
            </w:r>
            <w:r w:rsidRPr="009B5509">
              <w:rPr>
                <w:rFonts w:asciiTheme="minorHAnsi" w:hAnsiTheme="minorHAnsi" w:cstheme="minorHAnsi"/>
                <w:sz w:val="20"/>
                <w:szCs w:val="20"/>
              </w:rPr>
              <w:t>075</w:t>
            </w:r>
          </w:p>
        </w:tc>
        <w:tc>
          <w:tcPr>
            <w:tcW w:w="1080" w:type="dxa"/>
          </w:tcPr>
          <w:p w14:paraId="3B64AFFA" w14:textId="5ED8E389"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3</w:t>
            </w:r>
            <w:r w:rsidR="009B5509">
              <w:rPr>
                <w:rFonts w:asciiTheme="minorHAnsi" w:hAnsiTheme="minorHAnsi" w:cstheme="minorHAnsi"/>
                <w:sz w:val="20"/>
                <w:szCs w:val="20"/>
              </w:rPr>
              <w:t>,</w:t>
            </w:r>
            <w:r w:rsidRPr="009B5509">
              <w:rPr>
                <w:rFonts w:asciiTheme="minorHAnsi" w:hAnsiTheme="minorHAnsi" w:cstheme="minorHAnsi"/>
                <w:sz w:val="20"/>
                <w:szCs w:val="20"/>
              </w:rPr>
              <w:t>780</w:t>
            </w:r>
          </w:p>
        </w:tc>
        <w:tc>
          <w:tcPr>
            <w:tcW w:w="900" w:type="dxa"/>
          </w:tcPr>
          <w:p w14:paraId="20BFD114" w14:textId="3B171680"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155</w:t>
            </w:r>
          </w:p>
        </w:tc>
      </w:tr>
      <w:tr w:rsidR="00DD1368" w:rsidRPr="00844F6D" w14:paraId="0188BDA7" w14:textId="77777777" w:rsidTr="00DD1368">
        <w:trPr>
          <w:jc w:val="center"/>
        </w:trPr>
        <w:tc>
          <w:tcPr>
            <w:tcW w:w="5125" w:type="dxa"/>
            <w:vAlign w:val="center"/>
          </w:tcPr>
          <w:p w14:paraId="0B727CAF" w14:textId="77777777" w:rsidR="00DD1368" w:rsidRPr="00F047E1" w:rsidRDefault="00DD1368" w:rsidP="00DD1368">
            <w:pPr>
              <w:rPr>
                <w:rFonts w:ascii="Calibri" w:hAnsi="Calibri" w:cs="Calibri"/>
                <w:sz w:val="20"/>
                <w:szCs w:val="20"/>
              </w:rPr>
            </w:pPr>
            <w:r w:rsidRPr="00F047E1">
              <w:rPr>
                <w:rFonts w:ascii="Calibri" w:hAnsi="Calibri" w:cs="Calibri"/>
                <w:bCs/>
                <w:color w:val="000000"/>
                <w:sz w:val="20"/>
                <w:szCs w:val="20"/>
              </w:rPr>
              <w:t>Residential Treatment/ Alcohol and Drug Rehabilitation</w:t>
            </w:r>
          </w:p>
        </w:tc>
        <w:tc>
          <w:tcPr>
            <w:tcW w:w="1170" w:type="dxa"/>
          </w:tcPr>
          <w:p w14:paraId="422603B1" w14:textId="0E3D2C75"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515</w:t>
            </w:r>
          </w:p>
        </w:tc>
        <w:tc>
          <w:tcPr>
            <w:tcW w:w="1080" w:type="dxa"/>
          </w:tcPr>
          <w:p w14:paraId="47686708" w14:textId="1EA9DBE4"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141</w:t>
            </w:r>
          </w:p>
        </w:tc>
        <w:tc>
          <w:tcPr>
            <w:tcW w:w="900" w:type="dxa"/>
          </w:tcPr>
          <w:p w14:paraId="0B456D8F" w14:textId="51584167"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263</w:t>
            </w:r>
          </w:p>
        </w:tc>
      </w:tr>
      <w:tr w:rsidR="00DD1368" w:rsidRPr="00844F6D" w14:paraId="1477880F" w14:textId="77777777" w:rsidTr="00DD1368">
        <w:trPr>
          <w:jc w:val="center"/>
        </w:trPr>
        <w:tc>
          <w:tcPr>
            <w:tcW w:w="5125" w:type="dxa"/>
          </w:tcPr>
          <w:p w14:paraId="75E053B5" w14:textId="77777777" w:rsidR="00DD1368" w:rsidRPr="00F047E1" w:rsidRDefault="00DD1368" w:rsidP="00DD1368">
            <w:pPr>
              <w:rPr>
                <w:rFonts w:ascii="Calibri" w:hAnsi="Calibri" w:cs="Calibri"/>
                <w:sz w:val="20"/>
                <w:szCs w:val="20"/>
              </w:rPr>
            </w:pPr>
            <w:r w:rsidRPr="00F047E1">
              <w:rPr>
                <w:rFonts w:ascii="Calibri" w:hAnsi="Calibri" w:cs="Calibri"/>
                <w:sz w:val="20"/>
                <w:szCs w:val="20"/>
              </w:rPr>
              <w:t>Adult Transition Home</w:t>
            </w:r>
          </w:p>
        </w:tc>
        <w:tc>
          <w:tcPr>
            <w:tcW w:w="1170" w:type="dxa"/>
          </w:tcPr>
          <w:p w14:paraId="39F82EC2" w14:textId="2ADD5646"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103</w:t>
            </w:r>
          </w:p>
        </w:tc>
        <w:tc>
          <w:tcPr>
            <w:tcW w:w="1080" w:type="dxa"/>
          </w:tcPr>
          <w:p w14:paraId="01268BFE" w14:textId="20A32DB1"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3</w:t>
            </w:r>
          </w:p>
        </w:tc>
        <w:tc>
          <w:tcPr>
            <w:tcW w:w="900" w:type="dxa"/>
          </w:tcPr>
          <w:p w14:paraId="3ED535A3" w14:textId="7B1CF593"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81</w:t>
            </w:r>
          </w:p>
        </w:tc>
      </w:tr>
      <w:tr w:rsidR="00DD1368" w:rsidRPr="00844F6D" w14:paraId="1596C94C" w14:textId="77777777" w:rsidTr="00DD1368">
        <w:trPr>
          <w:jc w:val="center"/>
        </w:trPr>
        <w:tc>
          <w:tcPr>
            <w:tcW w:w="5125" w:type="dxa"/>
          </w:tcPr>
          <w:p w14:paraId="48AB5E39" w14:textId="77777777" w:rsidR="00DD1368" w:rsidRPr="00F047E1" w:rsidRDefault="00DD1368" w:rsidP="00DD1368">
            <w:pPr>
              <w:rPr>
                <w:rFonts w:ascii="Calibri" w:hAnsi="Calibri" w:cs="Calibri"/>
                <w:sz w:val="20"/>
                <w:szCs w:val="20"/>
              </w:rPr>
            </w:pPr>
            <w:r w:rsidRPr="00F047E1">
              <w:rPr>
                <w:rFonts w:ascii="Calibri" w:hAnsi="Calibri" w:cs="Calibri"/>
                <w:sz w:val="20"/>
                <w:szCs w:val="20"/>
              </w:rPr>
              <w:t>Other Residential Status</w:t>
            </w:r>
          </w:p>
        </w:tc>
        <w:tc>
          <w:tcPr>
            <w:tcW w:w="1170" w:type="dxa"/>
          </w:tcPr>
          <w:p w14:paraId="714A8214" w14:textId="235855A9"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444</w:t>
            </w:r>
          </w:p>
        </w:tc>
        <w:tc>
          <w:tcPr>
            <w:tcW w:w="1080" w:type="dxa"/>
          </w:tcPr>
          <w:p w14:paraId="526D1D25" w14:textId="024B41AA"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71</w:t>
            </w:r>
          </w:p>
        </w:tc>
        <w:tc>
          <w:tcPr>
            <w:tcW w:w="900" w:type="dxa"/>
          </w:tcPr>
          <w:p w14:paraId="3F03F33A" w14:textId="000B1693"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147</w:t>
            </w:r>
          </w:p>
        </w:tc>
      </w:tr>
      <w:tr w:rsidR="00DD1368" w:rsidRPr="00844F6D" w14:paraId="6B915778" w14:textId="77777777" w:rsidTr="00DD1368">
        <w:trPr>
          <w:jc w:val="center"/>
        </w:trPr>
        <w:tc>
          <w:tcPr>
            <w:tcW w:w="5125" w:type="dxa"/>
            <w:vAlign w:val="center"/>
          </w:tcPr>
          <w:p w14:paraId="54B51830" w14:textId="77777777" w:rsidR="00DD1368" w:rsidRPr="00F047E1" w:rsidRDefault="00DD1368" w:rsidP="00DD1368">
            <w:pPr>
              <w:rPr>
                <w:rFonts w:ascii="Calibri" w:hAnsi="Calibri" w:cs="Calibri"/>
                <w:sz w:val="20"/>
                <w:szCs w:val="20"/>
              </w:rPr>
            </w:pPr>
            <w:r w:rsidRPr="00F047E1">
              <w:rPr>
                <w:rFonts w:ascii="Calibri" w:hAnsi="Calibri" w:cs="Calibri"/>
                <w:bCs/>
                <w:color w:val="000000"/>
                <w:sz w:val="20"/>
                <w:szCs w:val="20"/>
              </w:rPr>
              <w:t>Nursing Home/Physical Rehabilitation</w:t>
            </w:r>
          </w:p>
        </w:tc>
        <w:tc>
          <w:tcPr>
            <w:tcW w:w="1170" w:type="dxa"/>
          </w:tcPr>
          <w:p w14:paraId="426DD064" w14:textId="419FD7F0"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289</w:t>
            </w:r>
          </w:p>
        </w:tc>
        <w:tc>
          <w:tcPr>
            <w:tcW w:w="1080" w:type="dxa"/>
          </w:tcPr>
          <w:p w14:paraId="09E055D6" w14:textId="2B8EFFC7"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117</w:t>
            </w:r>
          </w:p>
        </w:tc>
        <w:tc>
          <w:tcPr>
            <w:tcW w:w="900" w:type="dxa"/>
          </w:tcPr>
          <w:p w14:paraId="7E49AD7C" w14:textId="5361D704"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w:t>
            </w:r>
          </w:p>
        </w:tc>
      </w:tr>
      <w:tr w:rsidR="00DD1368" w:rsidRPr="00844F6D" w14:paraId="7FF3BA57" w14:textId="77777777" w:rsidTr="00DD1368">
        <w:trPr>
          <w:jc w:val="center"/>
        </w:trPr>
        <w:tc>
          <w:tcPr>
            <w:tcW w:w="5125" w:type="dxa"/>
            <w:vAlign w:val="center"/>
          </w:tcPr>
          <w:p w14:paraId="41D58650" w14:textId="77777777" w:rsidR="00DD1368" w:rsidRPr="00F047E1" w:rsidRDefault="00DD1368" w:rsidP="00DD1368">
            <w:pPr>
              <w:rPr>
                <w:rFonts w:ascii="Calibri" w:hAnsi="Calibri" w:cs="Calibri"/>
                <w:sz w:val="20"/>
                <w:szCs w:val="20"/>
              </w:rPr>
            </w:pPr>
            <w:r w:rsidRPr="00F047E1">
              <w:rPr>
                <w:rFonts w:ascii="Calibri" w:hAnsi="Calibri" w:cs="Calibri"/>
                <w:bCs/>
                <w:color w:val="000000"/>
                <w:sz w:val="20"/>
                <w:szCs w:val="20"/>
              </w:rPr>
              <w:t>Inpatient Care</w:t>
            </w:r>
          </w:p>
        </w:tc>
        <w:tc>
          <w:tcPr>
            <w:tcW w:w="1170" w:type="dxa"/>
          </w:tcPr>
          <w:p w14:paraId="378E7E4F" w14:textId="0DEF5E83"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297</w:t>
            </w:r>
          </w:p>
        </w:tc>
        <w:tc>
          <w:tcPr>
            <w:tcW w:w="1080" w:type="dxa"/>
          </w:tcPr>
          <w:p w14:paraId="70906EF8" w14:textId="0E418729"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34</w:t>
            </w:r>
          </w:p>
        </w:tc>
        <w:tc>
          <w:tcPr>
            <w:tcW w:w="900" w:type="dxa"/>
          </w:tcPr>
          <w:p w14:paraId="6FFE0ADD" w14:textId="09A2B3DC"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12</w:t>
            </w:r>
          </w:p>
        </w:tc>
      </w:tr>
      <w:tr w:rsidR="00DD1368" w:rsidRPr="00844F6D" w14:paraId="3E82ADF9" w14:textId="77777777" w:rsidTr="00DD1368">
        <w:trPr>
          <w:jc w:val="center"/>
        </w:trPr>
        <w:tc>
          <w:tcPr>
            <w:tcW w:w="5125" w:type="dxa"/>
            <w:vAlign w:val="center"/>
          </w:tcPr>
          <w:p w14:paraId="444097C3" w14:textId="77777777" w:rsidR="00DD1368" w:rsidRPr="00F047E1" w:rsidRDefault="00DD1368" w:rsidP="00DD1368">
            <w:pPr>
              <w:rPr>
                <w:rFonts w:ascii="Calibri" w:hAnsi="Calibri" w:cs="Calibri"/>
                <w:sz w:val="20"/>
                <w:szCs w:val="20"/>
              </w:rPr>
            </w:pPr>
            <w:r w:rsidRPr="00F047E1">
              <w:rPr>
                <w:rFonts w:ascii="Calibri" w:hAnsi="Calibri" w:cs="Calibri"/>
                <w:bCs/>
                <w:color w:val="000000"/>
                <w:sz w:val="20"/>
                <w:szCs w:val="20"/>
              </w:rPr>
              <w:t>Local Jail/Correctional Facility</w:t>
            </w:r>
          </w:p>
        </w:tc>
        <w:tc>
          <w:tcPr>
            <w:tcW w:w="1170" w:type="dxa"/>
          </w:tcPr>
          <w:p w14:paraId="7D0AECED" w14:textId="419DDE14"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w:t>
            </w:r>
            <w:r w:rsidR="009B5509">
              <w:rPr>
                <w:rFonts w:asciiTheme="minorHAnsi" w:hAnsiTheme="minorHAnsi" w:cstheme="minorHAnsi"/>
                <w:sz w:val="20"/>
                <w:szCs w:val="20"/>
              </w:rPr>
              <w:t>,</w:t>
            </w:r>
            <w:r w:rsidRPr="009B5509">
              <w:rPr>
                <w:rFonts w:asciiTheme="minorHAnsi" w:hAnsiTheme="minorHAnsi" w:cstheme="minorHAnsi"/>
                <w:sz w:val="20"/>
                <w:szCs w:val="20"/>
              </w:rPr>
              <w:t>708</w:t>
            </w:r>
          </w:p>
        </w:tc>
        <w:tc>
          <w:tcPr>
            <w:tcW w:w="1080" w:type="dxa"/>
          </w:tcPr>
          <w:p w14:paraId="27303F2E" w14:textId="4F8A58A9"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13</w:t>
            </w:r>
          </w:p>
        </w:tc>
        <w:tc>
          <w:tcPr>
            <w:tcW w:w="900" w:type="dxa"/>
          </w:tcPr>
          <w:p w14:paraId="00F47D97" w14:textId="64E54D2E"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800</w:t>
            </w:r>
          </w:p>
        </w:tc>
      </w:tr>
      <w:tr w:rsidR="00DD1368" w:rsidRPr="00844F6D" w14:paraId="02EE03E7" w14:textId="77777777" w:rsidTr="00DD1368">
        <w:trPr>
          <w:jc w:val="center"/>
        </w:trPr>
        <w:tc>
          <w:tcPr>
            <w:tcW w:w="5125" w:type="dxa"/>
            <w:vAlign w:val="center"/>
          </w:tcPr>
          <w:p w14:paraId="3658F211" w14:textId="77777777" w:rsidR="00DD1368" w:rsidRPr="00F047E1" w:rsidRDefault="00DD1368" w:rsidP="00DD1368">
            <w:pPr>
              <w:rPr>
                <w:rFonts w:ascii="Calibri" w:hAnsi="Calibri" w:cs="Calibri"/>
                <w:sz w:val="20"/>
                <w:szCs w:val="20"/>
              </w:rPr>
            </w:pPr>
            <w:r w:rsidRPr="00F047E1">
              <w:rPr>
                <w:rFonts w:ascii="Calibri" w:hAnsi="Calibri" w:cs="Calibri"/>
                <w:bCs/>
                <w:color w:val="000000"/>
                <w:sz w:val="20"/>
                <w:szCs w:val="20"/>
              </w:rPr>
              <w:t>State Correctional Facility</w:t>
            </w:r>
          </w:p>
        </w:tc>
        <w:tc>
          <w:tcPr>
            <w:tcW w:w="1170" w:type="dxa"/>
          </w:tcPr>
          <w:p w14:paraId="0D4B357E" w14:textId="57FC4482"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289</w:t>
            </w:r>
          </w:p>
        </w:tc>
        <w:tc>
          <w:tcPr>
            <w:tcW w:w="1080" w:type="dxa"/>
          </w:tcPr>
          <w:p w14:paraId="194FE8E9" w14:textId="55383A3D"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117</w:t>
            </w:r>
          </w:p>
        </w:tc>
        <w:tc>
          <w:tcPr>
            <w:tcW w:w="900" w:type="dxa"/>
          </w:tcPr>
          <w:p w14:paraId="29A6E6B9" w14:textId="69311099"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w:t>
            </w:r>
          </w:p>
        </w:tc>
      </w:tr>
      <w:tr w:rsidR="00DD1368" w:rsidRPr="00844F6D" w14:paraId="29014E63" w14:textId="77777777" w:rsidTr="00DD1368">
        <w:trPr>
          <w:jc w:val="center"/>
        </w:trPr>
        <w:tc>
          <w:tcPr>
            <w:tcW w:w="5125" w:type="dxa"/>
            <w:vAlign w:val="center"/>
          </w:tcPr>
          <w:p w14:paraId="00186D58" w14:textId="77777777" w:rsidR="00DD1368" w:rsidRPr="00F047E1" w:rsidRDefault="00DD1368" w:rsidP="00DD1368">
            <w:pPr>
              <w:rPr>
                <w:rFonts w:ascii="Calibri" w:hAnsi="Calibri" w:cs="Calibri"/>
                <w:sz w:val="20"/>
                <w:szCs w:val="20"/>
              </w:rPr>
            </w:pPr>
            <w:r w:rsidRPr="00F047E1">
              <w:rPr>
                <w:rFonts w:ascii="Calibri" w:hAnsi="Calibri" w:cs="Calibri"/>
                <w:bCs/>
                <w:color w:val="000000"/>
                <w:sz w:val="20"/>
                <w:szCs w:val="20"/>
              </w:rPr>
              <w:t>Other Institutional Setting</w:t>
            </w:r>
          </w:p>
        </w:tc>
        <w:tc>
          <w:tcPr>
            <w:tcW w:w="1170" w:type="dxa"/>
          </w:tcPr>
          <w:p w14:paraId="442773D5" w14:textId="3BE8984D"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239</w:t>
            </w:r>
          </w:p>
        </w:tc>
        <w:tc>
          <w:tcPr>
            <w:tcW w:w="1080" w:type="dxa"/>
          </w:tcPr>
          <w:p w14:paraId="389378F5" w14:textId="3AA5ADD8"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219</w:t>
            </w:r>
          </w:p>
        </w:tc>
        <w:tc>
          <w:tcPr>
            <w:tcW w:w="900" w:type="dxa"/>
          </w:tcPr>
          <w:p w14:paraId="0C941BF5" w14:textId="1E1D1279"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51</w:t>
            </w:r>
          </w:p>
        </w:tc>
      </w:tr>
      <w:tr w:rsidR="00DD1368" w:rsidRPr="00844F6D" w14:paraId="6DC16AC5" w14:textId="77777777" w:rsidTr="00DD1368">
        <w:trPr>
          <w:jc w:val="center"/>
        </w:trPr>
        <w:tc>
          <w:tcPr>
            <w:tcW w:w="5125" w:type="dxa"/>
            <w:vAlign w:val="center"/>
          </w:tcPr>
          <w:p w14:paraId="3228F146" w14:textId="77777777" w:rsidR="00DD1368" w:rsidRPr="00F047E1" w:rsidRDefault="00DD1368" w:rsidP="00DD1368">
            <w:pPr>
              <w:rPr>
                <w:rFonts w:ascii="Calibri" w:hAnsi="Calibri" w:cs="Calibri"/>
                <w:sz w:val="20"/>
                <w:szCs w:val="20"/>
              </w:rPr>
            </w:pPr>
            <w:r w:rsidRPr="00F047E1">
              <w:rPr>
                <w:rFonts w:ascii="Calibri" w:hAnsi="Calibri" w:cs="Calibri"/>
                <w:bCs/>
                <w:color w:val="000000"/>
                <w:sz w:val="20"/>
                <w:szCs w:val="20"/>
              </w:rPr>
              <w:t>Juvenile Detention Center</w:t>
            </w:r>
          </w:p>
        </w:tc>
        <w:tc>
          <w:tcPr>
            <w:tcW w:w="1170" w:type="dxa"/>
          </w:tcPr>
          <w:p w14:paraId="67BCE4F1" w14:textId="12F4D806"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386</w:t>
            </w:r>
          </w:p>
        </w:tc>
        <w:tc>
          <w:tcPr>
            <w:tcW w:w="1080" w:type="dxa"/>
          </w:tcPr>
          <w:p w14:paraId="54A7DB93" w14:textId="455C1F58"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3</w:t>
            </w:r>
          </w:p>
        </w:tc>
        <w:tc>
          <w:tcPr>
            <w:tcW w:w="900" w:type="dxa"/>
          </w:tcPr>
          <w:p w14:paraId="469F7111" w14:textId="6B00496E"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23</w:t>
            </w:r>
          </w:p>
        </w:tc>
      </w:tr>
      <w:tr w:rsidR="00DD1368" w:rsidRPr="00844F6D" w14:paraId="1EB1A000" w14:textId="77777777" w:rsidTr="00DD1368">
        <w:trPr>
          <w:jc w:val="center"/>
        </w:trPr>
        <w:tc>
          <w:tcPr>
            <w:tcW w:w="5125" w:type="dxa"/>
            <w:vAlign w:val="center"/>
          </w:tcPr>
          <w:p w14:paraId="302A005A" w14:textId="77777777" w:rsidR="00DD1368" w:rsidRPr="00F047E1" w:rsidRDefault="00DD1368" w:rsidP="00DD1368">
            <w:pPr>
              <w:rPr>
                <w:rFonts w:ascii="Calibri" w:hAnsi="Calibri" w:cs="Calibri"/>
                <w:sz w:val="20"/>
                <w:szCs w:val="20"/>
              </w:rPr>
            </w:pPr>
            <w:r w:rsidRPr="00F047E1">
              <w:rPr>
                <w:rFonts w:ascii="Calibri" w:hAnsi="Calibri" w:cs="Calibri"/>
                <w:bCs/>
                <w:sz w:val="20"/>
                <w:szCs w:val="20"/>
              </w:rPr>
              <w:t>Homeless/homeless shelter</w:t>
            </w:r>
          </w:p>
        </w:tc>
        <w:tc>
          <w:tcPr>
            <w:tcW w:w="1170" w:type="dxa"/>
          </w:tcPr>
          <w:p w14:paraId="565C4F0A" w14:textId="605D80E7"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2</w:t>
            </w:r>
            <w:r w:rsidR="009B5509">
              <w:rPr>
                <w:rFonts w:asciiTheme="minorHAnsi" w:hAnsiTheme="minorHAnsi" w:cstheme="minorHAnsi"/>
                <w:sz w:val="20"/>
                <w:szCs w:val="20"/>
              </w:rPr>
              <w:t>,</w:t>
            </w:r>
            <w:r w:rsidRPr="009B5509">
              <w:rPr>
                <w:rFonts w:asciiTheme="minorHAnsi" w:hAnsiTheme="minorHAnsi" w:cstheme="minorHAnsi"/>
                <w:sz w:val="20"/>
                <w:szCs w:val="20"/>
              </w:rPr>
              <w:t>870</w:t>
            </w:r>
          </w:p>
        </w:tc>
        <w:tc>
          <w:tcPr>
            <w:tcW w:w="1080" w:type="dxa"/>
          </w:tcPr>
          <w:p w14:paraId="2E512460" w14:textId="28EC4D94"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45</w:t>
            </w:r>
          </w:p>
        </w:tc>
        <w:tc>
          <w:tcPr>
            <w:tcW w:w="900" w:type="dxa"/>
          </w:tcPr>
          <w:p w14:paraId="79ED465F" w14:textId="7E26FD60"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w:t>
            </w:r>
            <w:r w:rsidR="009B5509">
              <w:rPr>
                <w:rFonts w:asciiTheme="minorHAnsi" w:hAnsiTheme="minorHAnsi" w:cstheme="minorHAnsi"/>
                <w:sz w:val="20"/>
                <w:szCs w:val="20"/>
              </w:rPr>
              <w:t>,</w:t>
            </w:r>
            <w:r w:rsidRPr="009B5509">
              <w:rPr>
                <w:rFonts w:asciiTheme="minorHAnsi" w:hAnsiTheme="minorHAnsi" w:cstheme="minorHAnsi"/>
                <w:sz w:val="20"/>
                <w:szCs w:val="20"/>
              </w:rPr>
              <w:t>131</w:t>
            </w:r>
          </w:p>
        </w:tc>
      </w:tr>
      <w:tr w:rsidR="00F75D9A" w:rsidRPr="00844F6D" w14:paraId="0C26F66E" w14:textId="77777777" w:rsidTr="00DD1368">
        <w:trPr>
          <w:jc w:val="center"/>
        </w:trPr>
        <w:tc>
          <w:tcPr>
            <w:tcW w:w="5125" w:type="dxa"/>
            <w:vAlign w:val="center"/>
          </w:tcPr>
          <w:p w14:paraId="646FA770" w14:textId="0B45913F" w:rsidR="00F75D9A" w:rsidRPr="00F047E1" w:rsidRDefault="00F75D9A" w:rsidP="00DD1368">
            <w:pPr>
              <w:rPr>
                <w:rFonts w:ascii="Calibri" w:hAnsi="Calibri" w:cs="Calibri"/>
                <w:bCs/>
                <w:sz w:val="20"/>
                <w:szCs w:val="20"/>
              </w:rPr>
            </w:pPr>
            <w:proofErr w:type="spellStart"/>
            <w:r>
              <w:rPr>
                <w:rFonts w:ascii="Calibri" w:hAnsi="Calibri" w:cs="Calibri"/>
                <w:bCs/>
                <w:sz w:val="20"/>
                <w:szCs w:val="20"/>
              </w:rPr>
              <w:t>Veterans</w:t>
            </w:r>
            <w:proofErr w:type="spellEnd"/>
            <w:r>
              <w:rPr>
                <w:rFonts w:ascii="Calibri" w:hAnsi="Calibri" w:cs="Calibri"/>
                <w:bCs/>
                <w:sz w:val="20"/>
                <w:szCs w:val="20"/>
              </w:rPr>
              <w:t xml:space="preserve"> Health Administration</w:t>
            </w:r>
          </w:p>
        </w:tc>
        <w:tc>
          <w:tcPr>
            <w:tcW w:w="1170" w:type="dxa"/>
          </w:tcPr>
          <w:p w14:paraId="2A774D3A" w14:textId="06E1C587" w:rsidR="00F75D9A" w:rsidRPr="009B5509" w:rsidRDefault="00F75D9A" w:rsidP="00DD1368">
            <w:pPr>
              <w:jc w:val="center"/>
              <w:rPr>
                <w:rFonts w:asciiTheme="minorHAnsi" w:hAnsiTheme="minorHAnsi" w:cstheme="minorHAnsi"/>
                <w:sz w:val="20"/>
                <w:szCs w:val="20"/>
              </w:rPr>
            </w:pPr>
            <w:r w:rsidRPr="009B5509">
              <w:rPr>
                <w:rFonts w:asciiTheme="minorHAnsi" w:hAnsiTheme="minorHAnsi" w:cstheme="minorHAnsi"/>
                <w:sz w:val="20"/>
                <w:szCs w:val="20"/>
              </w:rPr>
              <w:t>1</w:t>
            </w:r>
          </w:p>
        </w:tc>
        <w:tc>
          <w:tcPr>
            <w:tcW w:w="1080" w:type="dxa"/>
          </w:tcPr>
          <w:p w14:paraId="3DDA863C" w14:textId="1E6382E5" w:rsidR="00F75D9A" w:rsidRPr="009B5509" w:rsidRDefault="00F75D9A" w:rsidP="00DD1368">
            <w:pPr>
              <w:jc w:val="center"/>
              <w:rPr>
                <w:rFonts w:asciiTheme="minorHAnsi" w:hAnsiTheme="minorHAnsi" w:cstheme="minorHAnsi"/>
                <w:sz w:val="20"/>
                <w:szCs w:val="20"/>
              </w:rPr>
            </w:pPr>
            <w:r w:rsidRPr="009B5509">
              <w:rPr>
                <w:rFonts w:asciiTheme="minorHAnsi" w:hAnsiTheme="minorHAnsi" w:cstheme="minorHAnsi"/>
                <w:sz w:val="20"/>
                <w:szCs w:val="20"/>
              </w:rPr>
              <w:t>0</w:t>
            </w:r>
          </w:p>
        </w:tc>
        <w:tc>
          <w:tcPr>
            <w:tcW w:w="900" w:type="dxa"/>
          </w:tcPr>
          <w:p w14:paraId="035C6F50" w14:textId="6AA13D2B" w:rsidR="00F75D9A" w:rsidRPr="009B5509" w:rsidRDefault="00F75D9A" w:rsidP="00DD1368">
            <w:pPr>
              <w:jc w:val="center"/>
              <w:rPr>
                <w:rFonts w:asciiTheme="minorHAnsi" w:hAnsiTheme="minorHAnsi" w:cstheme="minorHAnsi"/>
                <w:sz w:val="20"/>
                <w:szCs w:val="20"/>
              </w:rPr>
            </w:pPr>
            <w:r w:rsidRPr="009B5509">
              <w:rPr>
                <w:rFonts w:asciiTheme="minorHAnsi" w:hAnsiTheme="minorHAnsi" w:cstheme="minorHAnsi"/>
                <w:sz w:val="20"/>
                <w:szCs w:val="20"/>
              </w:rPr>
              <w:t>1</w:t>
            </w:r>
          </w:p>
        </w:tc>
      </w:tr>
      <w:tr w:rsidR="00DD1368" w:rsidRPr="00844F6D" w14:paraId="4F7AE4AC" w14:textId="77777777" w:rsidTr="00DD1368">
        <w:trPr>
          <w:jc w:val="center"/>
        </w:trPr>
        <w:tc>
          <w:tcPr>
            <w:tcW w:w="5125" w:type="dxa"/>
            <w:vAlign w:val="center"/>
          </w:tcPr>
          <w:p w14:paraId="1F53F2A6" w14:textId="77777777" w:rsidR="00DD1368" w:rsidRPr="00F047E1" w:rsidRDefault="00DD1368" w:rsidP="00DD1368">
            <w:pPr>
              <w:rPr>
                <w:rFonts w:ascii="Calibri" w:hAnsi="Calibri" w:cs="Calibri"/>
                <w:sz w:val="20"/>
                <w:szCs w:val="20"/>
              </w:rPr>
            </w:pPr>
            <w:r w:rsidRPr="00F047E1">
              <w:rPr>
                <w:rFonts w:ascii="Calibri" w:hAnsi="Calibri" w:cs="Calibri"/>
                <w:bCs/>
                <w:sz w:val="20"/>
                <w:szCs w:val="20"/>
              </w:rPr>
              <w:t>Unknown</w:t>
            </w:r>
          </w:p>
        </w:tc>
        <w:tc>
          <w:tcPr>
            <w:tcW w:w="1170" w:type="dxa"/>
          </w:tcPr>
          <w:p w14:paraId="72908B31" w14:textId="7607C2C1"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10</w:t>
            </w:r>
            <w:r w:rsidR="009B5509">
              <w:rPr>
                <w:rFonts w:asciiTheme="minorHAnsi" w:hAnsiTheme="minorHAnsi" w:cstheme="minorHAnsi"/>
                <w:sz w:val="20"/>
                <w:szCs w:val="20"/>
              </w:rPr>
              <w:t>,</w:t>
            </w:r>
            <w:r w:rsidRPr="009B5509">
              <w:rPr>
                <w:rFonts w:asciiTheme="minorHAnsi" w:hAnsiTheme="minorHAnsi" w:cstheme="minorHAnsi"/>
                <w:sz w:val="20"/>
                <w:szCs w:val="20"/>
              </w:rPr>
              <w:t>917</w:t>
            </w:r>
          </w:p>
        </w:tc>
        <w:tc>
          <w:tcPr>
            <w:tcW w:w="1080" w:type="dxa"/>
          </w:tcPr>
          <w:p w14:paraId="2E38BC2E" w14:textId="734E07DE"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1308</w:t>
            </w:r>
          </w:p>
        </w:tc>
        <w:tc>
          <w:tcPr>
            <w:tcW w:w="900" w:type="dxa"/>
          </w:tcPr>
          <w:p w14:paraId="51980168" w14:textId="38D33573"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2</w:t>
            </w:r>
            <w:r w:rsidR="009B5509">
              <w:rPr>
                <w:rFonts w:asciiTheme="minorHAnsi" w:hAnsiTheme="minorHAnsi" w:cstheme="minorHAnsi"/>
                <w:sz w:val="20"/>
                <w:szCs w:val="20"/>
              </w:rPr>
              <w:t>,</w:t>
            </w:r>
            <w:r w:rsidRPr="009B5509">
              <w:rPr>
                <w:rFonts w:asciiTheme="minorHAnsi" w:hAnsiTheme="minorHAnsi" w:cstheme="minorHAnsi"/>
                <w:sz w:val="20"/>
                <w:szCs w:val="20"/>
              </w:rPr>
              <w:t>637</w:t>
            </w:r>
          </w:p>
        </w:tc>
      </w:tr>
      <w:tr w:rsidR="00DD1368" w:rsidRPr="00844F6D" w14:paraId="5B9EED0A" w14:textId="77777777" w:rsidTr="00DD1368">
        <w:trPr>
          <w:jc w:val="center"/>
        </w:trPr>
        <w:tc>
          <w:tcPr>
            <w:tcW w:w="5125" w:type="dxa"/>
            <w:vAlign w:val="center"/>
          </w:tcPr>
          <w:p w14:paraId="38A377EC" w14:textId="77777777" w:rsidR="00DD1368" w:rsidRPr="00F047E1" w:rsidRDefault="00DD1368" w:rsidP="00DD1368">
            <w:pPr>
              <w:rPr>
                <w:rFonts w:ascii="Calibri" w:hAnsi="Calibri" w:cs="Calibri"/>
                <w:sz w:val="20"/>
                <w:szCs w:val="20"/>
              </w:rPr>
            </w:pPr>
            <w:r w:rsidRPr="00F047E1">
              <w:rPr>
                <w:rFonts w:ascii="Calibri" w:hAnsi="Calibri" w:cs="Calibri"/>
                <w:bCs/>
                <w:sz w:val="20"/>
                <w:szCs w:val="20"/>
              </w:rPr>
              <w:t>Not Collected</w:t>
            </w:r>
          </w:p>
        </w:tc>
        <w:tc>
          <w:tcPr>
            <w:tcW w:w="1170" w:type="dxa"/>
          </w:tcPr>
          <w:p w14:paraId="723C5F9D" w14:textId="0C6E1427"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6</w:t>
            </w:r>
            <w:r w:rsidR="009B5509">
              <w:rPr>
                <w:rFonts w:asciiTheme="minorHAnsi" w:hAnsiTheme="minorHAnsi" w:cstheme="minorHAnsi"/>
                <w:sz w:val="20"/>
                <w:szCs w:val="20"/>
              </w:rPr>
              <w:t>,</w:t>
            </w:r>
            <w:r w:rsidRPr="009B5509">
              <w:rPr>
                <w:rFonts w:asciiTheme="minorHAnsi" w:hAnsiTheme="minorHAnsi" w:cstheme="minorHAnsi"/>
                <w:sz w:val="20"/>
                <w:szCs w:val="20"/>
              </w:rPr>
              <w:t>772</w:t>
            </w:r>
          </w:p>
        </w:tc>
        <w:tc>
          <w:tcPr>
            <w:tcW w:w="1080" w:type="dxa"/>
          </w:tcPr>
          <w:p w14:paraId="112D03CC" w14:textId="1A360F0C"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1110</w:t>
            </w:r>
          </w:p>
        </w:tc>
        <w:tc>
          <w:tcPr>
            <w:tcW w:w="900" w:type="dxa"/>
          </w:tcPr>
          <w:p w14:paraId="06F76308" w14:textId="19B65412" w:rsidR="00DD1368" w:rsidRPr="009B5509" w:rsidRDefault="00DD1368" w:rsidP="00DD1368">
            <w:pPr>
              <w:jc w:val="center"/>
              <w:rPr>
                <w:rFonts w:asciiTheme="minorHAnsi" w:hAnsiTheme="minorHAnsi" w:cstheme="minorHAnsi"/>
                <w:sz w:val="20"/>
                <w:szCs w:val="20"/>
              </w:rPr>
            </w:pPr>
            <w:r w:rsidRPr="009B5509">
              <w:rPr>
                <w:rFonts w:asciiTheme="minorHAnsi" w:hAnsiTheme="minorHAnsi" w:cstheme="minorHAnsi"/>
                <w:sz w:val="20"/>
                <w:szCs w:val="20"/>
              </w:rPr>
              <w:t>1</w:t>
            </w:r>
            <w:r w:rsidR="009B5509">
              <w:rPr>
                <w:rFonts w:asciiTheme="minorHAnsi" w:hAnsiTheme="minorHAnsi" w:cstheme="minorHAnsi"/>
                <w:sz w:val="20"/>
                <w:szCs w:val="20"/>
              </w:rPr>
              <w:t>,</w:t>
            </w:r>
            <w:r w:rsidRPr="009B5509">
              <w:rPr>
                <w:rFonts w:asciiTheme="minorHAnsi" w:hAnsiTheme="minorHAnsi" w:cstheme="minorHAnsi"/>
                <w:sz w:val="20"/>
                <w:szCs w:val="20"/>
              </w:rPr>
              <w:t>024</w:t>
            </w:r>
          </w:p>
        </w:tc>
      </w:tr>
      <w:tr w:rsidR="00DD1368" w:rsidRPr="00844F6D" w14:paraId="2CA8541C" w14:textId="77777777" w:rsidTr="00DD1368">
        <w:trPr>
          <w:jc w:val="center"/>
        </w:trPr>
        <w:tc>
          <w:tcPr>
            <w:tcW w:w="5125" w:type="dxa"/>
            <w:vAlign w:val="center"/>
          </w:tcPr>
          <w:p w14:paraId="7AF88F3E" w14:textId="77777777" w:rsidR="00DD1368" w:rsidRPr="00F047E1" w:rsidRDefault="00DD1368" w:rsidP="00DD1368">
            <w:pPr>
              <w:rPr>
                <w:rFonts w:ascii="Calibri" w:hAnsi="Calibri" w:cs="Calibri"/>
                <w:sz w:val="20"/>
                <w:szCs w:val="20"/>
              </w:rPr>
            </w:pPr>
            <w:r w:rsidRPr="00F047E1">
              <w:rPr>
                <w:rFonts w:ascii="Calibri" w:hAnsi="Calibri" w:cs="Calibri"/>
                <w:b/>
                <w:bCs/>
                <w:sz w:val="20"/>
                <w:szCs w:val="20"/>
              </w:rPr>
              <w:t>Total Unduplicated Individuals</w:t>
            </w:r>
          </w:p>
        </w:tc>
        <w:tc>
          <w:tcPr>
            <w:tcW w:w="1170" w:type="dxa"/>
          </w:tcPr>
          <w:p w14:paraId="2C9C2BF8" w14:textId="267FB5CC" w:rsidR="00DD1368" w:rsidRPr="009B5509" w:rsidRDefault="00DD1368" w:rsidP="00DD1368">
            <w:pPr>
              <w:jc w:val="center"/>
              <w:rPr>
                <w:rFonts w:asciiTheme="minorHAnsi" w:hAnsiTheme="minorHAnsi" w:cstheme="minorHAnsi"/>
                <w:b/>
                <w:bCs/>
                <w:sz w:val="20"/>
                <w:szCs w:val="20"/>
              </w:rPr>
            </w:pPr>
            <w:r w:rsidRPr="009B5509">
              <w:rPr>
                <w:rFonts w:asciiTheme="minorHAnsi" w:hAnsiTheme="minorHAnsi" w:cstheme="minorHAnsi"/>
                <w:b/>
                <w:bCs/>
                <w:sz w:val="20"/>
                <w:szCs w:val="20"/>
              </w:rPr>
              <w:t>122</w:t>
            </w:r>
            <w:r w:rsidR="009B5509" w:rsidRPr="009B5509">
              <w:rPr>
                <w:rFonts w:asciiTheme="minorHAnsi" w:hAnsiTheme="minorHAnsi" w:cstheme="minorHAnsi"/>
                <w:b/>
                <w:bCs/>
                <w:sz w:val="20"/>
                <w:szCs w:val="20"/>
              </w:rPr>
              <w:t>,</w:t>
            </w:r>
            <w:r w:rsidRPr="009B5509">
              <w:rPr>
                <w:rFonts w:asciiTheme="minorHAnsi" w:hAnsiTheme="minorHAnsi" w:cstheme="minorHAnsi"/>
                <w:b/>
                <w:bCs/>
                <w:sz w:val="20"/>
                <w:szCs w:val="20"/>
              </w:rPr>
              <w:t>164</w:t>
            </w:r>
          </w:p>
        </w:tc>
        <w:tc>
          <w:tcPr>
            <w:tcW w:w="1080" w:type="dxa"/>
          </w:tcPr>
          <w:p w14:paraId="7E4F990A" w14:textId="347924A6" w:rsidR="00DD1368" w:rsidRPr="009B5509" w:rsidRDefault="00DD1368" w:rsidP="00DD1368">
            <w:pPr>
              <w:jc w:val="center"/>
              <w:rPr>
                <w:rFonts w:asciiTheme="minorHAnsi" w:hAnsiTheme="minorHAnsi" w:cstheme="minorHAnsi"/>
                <w:b/>
                <w:bCs/>
                <w:sz w:val="20"/>
                <w:szCs w:val="20"/>
              </w:rPr>
            </w:pPr>
            <w:r w:rsidRPr="009B5509">
              <w:rPr>
                <w:rFonts w:asciiTheme="minorHAnsi" w:hAnsiTheme="minorHAnsi" w:cstheme="minorHAnsi"/>
                <w:b/>
                <w:bCs/>
                <w:sz w:val="20"/>
                <w:szCs w:val="20"/>
              </w:rPr>
              <w:t>23</w:t>
            </w:r>
            <w:r w:rsidR="009B5509" w:rsidRPr="009B5509">
              <w:rPr>
                <w:rFonts w:asciiTheme="minorHAnsi" w:hAnsiTheme="minorHAnsi" w:cstheme="minorHAnsi"/>
                <w:b/>
                <w:bCs/>
                <w:sz w:val="20"/>
                <w:szCs w:val="20"/>
              </w:rPr>
              <w:t>,</w:t>
            </w:r>
            <w:r w:rsidRPr="009B5509">
              <w:rPr>
                <w:rFonts w:asciiTheme="minorHAnsi" w:hAnsiTheme="minorHAnsi" w:cstheme="minorHAnsi"/>
                <w:b/>
                <w:bCs/>
                <w:sz w:val="20"/>
                <w:szCs w:val="20"/>
              </w:rPr>
              <w:t>554</w:t>
            </w:r>
          </w:p>
        </w:tc>
        <w:tc>
          <w:tcPr>
            <w:tcW w:w="900" w:type="dxa"/>
          </w:tcPr>
          <w:p w14:paraId="4EAF0D91" w14:textId="02C40179" w:rsidR="00DD1368" w:rsidRPr="009B5509" w:rsidRDefault="00DD1368" w:rsidP="00DD1368">
            <w:pPr>
              <w:jc w:val="center"/>
              <w:rPr>
                <w:rFonts w:asciiTheme="minorHAnsi" w:hAnsiTheme="minorHAnsi" w:cstheme="minorHAnsi"/>
                <w:b/>
                <w:bCs/>
                <w:sz w:val="20"/>
                <w:szCs w:val="20"/>
              </w:rPr>
            </w:pPr>
            <w:r w:rsidRPr="009B5509">
              <w:rPr>
                <w:rFonts w:asciiTheme="minorHAnsi" w:hAnsiTheme="minorHAnsi" w:cstheme="minorHAnsi"/>
                <w:b/>
                <w:bCs/>
                <w:sz w:val="20"/>
                <w:szCs w:val="20"/>
              </w:rPr>
              <w:t>24</w:t>
            </w:r>
            <w:r w:rsidR="009B5509" w:rsidRPr="009B5509">
              <w:rPr>
                <w:rFonts w:asciiTheme="minorHAnsi" w:hAnsiTheme="minorHAnsi" w:cstheme="minorHAnsi"/>
                <w:b/>
                <w:bCs/>
                <w:sz w:val="20"/>
                <w:szCs w:val="20"/>
              </w:rPr>
              <w:t>,</w:t>
            </w:r>
            <w:r w:rsidRPr="009B5509">
              <w:rPr>
                <w:rFonts w:asciiTheme="minorHAnsi" w:hAnsiTheme="minorHAnsi" w:cstheme="minorHAnsi"/>
                <w:b/>
                <w:bCs/>
                <w:sz w:val="20"/>
                <w:szCs w:val="20"/>
              </w:rPr>
              <w:t>610</w:t>
            </w:r>
          </w:p>
        </w:tc>
      </w:tr>
    </w:tbl>
    <w:p w14:paraId="50AF873E" w14:textId="77777777" w:rsidR="00775C3B" w:rsidRPr="003D6438" w:rsidRDefault="00775C3B" w:rsidP="00F46923">
      <w:pPr>
        <w:ind w:left="432" w:hanging="432"/>
        <w:rPr>
          <w:b/>
          <w:sz w:val="2"/>
          <w:szCs w:val="2"/>
          <w:highlight w:val="cyan"/>
        </w:rPr>
      </w:pPr>
    </w:p>
    <w:p w14:paraId="78E443E4" w14:textId="77777777" w:rsidR="00775C3B" w:rsidRPr="003D6438" w:rsidRDefault="00775C3B" w:rsidP="00F46923">
      <w:pPr>
        <w:ind w:left="432" w:hanging="432"/>
        <w:rPr>
          <w:b/>
          <w:sz w:val="2"/>
          <w:szCs w:val="2"/>
          <w:highlight w:val="cyan"/>
        </w:rPr>
      </w:pPr>
    </w:p>
    <w:p w14:paraId="680D7105" w14:textId="77777777" w:rsidR="00775C3B" w:rsidRPr="003D6438" w:rsidRDefault="00775C3B" w:rsidP="00F46923">
      <w:pPr>
        <w:ind w:left="432" w:hanging="432"/>
        <w:rPr>
          <w:b/>
          <w:sz w:val="2"/>
          <w:szCs w:val="2"/>
          <w:highlight w:val="cyan"/>
        </w:rPr>
      </w:pPr>
    </w:p>
    <w:p w14:paraId="66B5BBEF" w14:textId="77777777" w:rsidR="00775C3B" w:rsidRPr="003D6438" w:rsidRDefault="00775C3B" w:rsidP="00F46923">
      <w:pPr>
        <w:ind w:left="432" w:hanging="432"/>
        <w:rPr>
          <w:b/>
          <w:sz w:val="2"/>
          <w:szCs w:val="2"/>
          <w:highlight w:val="cyan"/>
        </w:rPr>
      </w:pPr>
    </w:p>
    <w:p w14:paraId="64F7A7F9" w14:textId="77777777" w:rsidR="00775C3B" w:rsidRPr="003D6438" w:rsidRDefault="00775C3B" w:rsidP="00F46923">
      <w:pPr>
        <w:ind w:left="432" w:hanging="432"/>
        <w:rPr>
          <w:b/>
          <w:sz w:val="2"/>
          <w:szCs w:val="2"/>
          <w:highlight w:val="cyan"/>
        </w:rPr>
      </w:pPr>
    </w:p>
    <w:p w14:paraId="270DB678" w14:textId="31110DA1" w:rsidR="00775C3B" w:rsidRPr="00DB2DC2" w:rsidRDefault="00775C3B" w:rsidP="00F46923">
      <w:pPr>
        <w:rPr>
          <w:color w:val="4D5156"/>
          <w:shd w:val="clear" w:color="auto" w:fill="FFFFFF"/>
        </w:rPr>
      </w:pPr>
      <w:r>
        <w:rPr>
          <w:rStyle w:val="Emphasis"/>
          <w:rFonts w:ascii="Arial" w:hAnsi="Arial" w:cs="Arial"/>
          <w:b/>
          <w:bCs/>
          <w:i w:val="0"/>
          <w:iCs w:val="0"/>
          <w:color w:val="5F6368"/>
          <w:sz w:val="21"/>
          <w:szCs w:val="21"/>
          <w:shd w:val="clear" w:color="auto" w:fill="FFFFFF"/>
        </w:rPr>
        <w:br/>
      </w:r>
      <w:r w:rsidRPr="003E1E80">
        <w:rPr>
          <w:rStyle w:val="Emphasis"/>
          <w:bCs/>
          <w:i w:val="0"/>
          <w:iCs w:val="0"/>
          <w:shd w:val="clear" w:color="auto" w:fill="FFFFFF"/>
        </w:rPr>
        <w:t>Dementia</w:t>
      </w:r>
      <w:r w:rsidRPr="003E1E80">
        <w:rPr>
          <w:shd w:val="clear" w:color="auto" w:fill="FFFFFF"/>
        </w:rPr>
        <w:t> is general term for a wide range medical conditions caused by abnormal bra</w:t>
      </w:r>
      <w:r w:rsidR="00554A5A">
        <w:rPr>
          <w:shd w:val="clear" w:color="auto" w:fill="FFFFFF"/>
        </w:rPr>
        <w:t xml:space="preserve">in changes. </w:t>
      </w:r>
      <w:r w:rsidRPr="003E1E80">
        <w:rPr>
          <w:shd w:val="clear" w:color="auto" w:fill="FFFFFF"/>
        </w:rPr>
        <w:t xml:space="preserve">Figure </w:t>
      </w:r>
      <w:r w:rsidR="007E5D0B">
        <w:rPr>
          <w:shd w:val="clear" w:color="auto" w:fill="FFFFFF"/>
        </w:rPr>
        <w:t>13</w:t>
      </w:r>
      <w:r w:rsidR="00554A5A">
        <w:rPr>
          <w:shd w:val="clear" w:color="auto" w:fill="FFFFFF"/>
        </w:rPr>
        <w:t xml:space="preserve"> </w:t>
      </w:r>
      <w:r w:rsidRPr="003E1E80">
        <w:rPr>
          <w:shd w:val="clear" w:color="auto" w:fill="FFFFFF"/>
        </w:rPr>
        <w:t xml:space="preserve">displays the </w:t>
      </w:r>
      <w:r w:rsidR="00554A5A">
        <w:rPr>
          <w:shd w:val="clear" w:color="auto" w:fill="FFFFFF"/>
        </w:rPr>
        <w:t xml:space="preserve">individuals with dementia </w:t>
      </w:r>
      <w:r w:rsidRPr="003E1E80">
        <w:rPr>
          <w:shd w:val="clear" w:color="auto" w:fill="FFFFFF"/>
        </w:rPr>
        <w:t xml:space="preserve">in the eight adult state hospitals. </w:t>
      </w:r>
    </w:p>
    <w:p w14:paraId="1EA53F5C" w14:textId="77777777" w:rsidR="00DB2DC2" w:rsidRDefault="00DB2DC2" w:rsidP="00F46923">
      <w:pPr>
        <w:rPr>
          <w:b/>
        </w:rPr>
      </w:pPr>
    </w:p>
    <w:tbl>
      <w:tblPr>
        <w:tblW w:w="834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 w:type="dxa"/>
          <w:right w:w="14" w:type="dxa"/>
        </w:tblCellMar>
        <w:tblLook w:val="04A0" w:firstRow="1" w:lastRow="0" w:firstColumn="1" w:lastColumn="0" w:noHBand="0" w:noVBand="1"/>
      </w:tblPr>
      <w:tblGrid>
        <w:gridCol w:w="2085"/>
        <w:gridCol w:w="2085"/>
        <w:gridCol w:w="2085"/>
        <w:gridCol w:w="2085"/>
      </w:tblGrid>
      <w:tr w:rsidR="00775C3B" w:rsidRPr="00844F6D" w14:paraId="198CD7F8" w14:textId="77777777" w:rsidTr="00A61A4B">
        <w:trPr>
          <w:jc w:val="center"/>
        </w:trPr>
        <w:tc>
          <w:tcPr>
            <w:tcW w:w="8340" w:type="dxa"/>
            <w:gridSpan w:val="4"/>
            <w:vAlign w:val="center"/>
          </w:tcPr>
          <w:p w14:paraId="541DE2A6" w14:textId="3D1D0555" w:rsidR="00775C3B" w:rsidRPr="00CD1D20" w:rsidRDefault="00775C3B" w:rsidP="00F46923">
            <w:pPr>
              <w:jc w:val="center"/>
              <w:rPr>
                <w:rFonts w:asciiTheme="minorHAnsi" w:hAnsiTheme="minorHAnsi" w:cstheme="minorHAnsi"/>
                <w:sz w:val="20"/>
                <w:szCs w:val="20"/>
              </w:rPr>
            </w:pPr>
            <w:r w:rsidRPr="009B5509">
              <w:rPr>
                <w:rFonts w:asciiTheme="minorHAnsi" w:hAnsiTheme="minorHAnsi" w:cstheme="minorHAnsi"/>
                <w:b/>
                <w:color w:val="365F91" w:themeColor="accent1" w:themeShade="BF"/>
                <w:sz w:val="20"/>
                <w:szCs w:val="20"/>
              </w:rPr>
              <w:t xml:space="preserve">Figure </w:t>
            </w:r>
            <w:r w:rsidR="007E5D0B" w:rsidRPr="009B5509">
              <w:rPr>
                <w:rFonts w:asciiTheme="minorHAnsi" w:hAnsiTheme="minorHAnsi" w:cstheme="minorHAnsi"/>
                <w:b/>
                <w:color w:val="365F91" w:themeColor="accent1" w:themeShade="BF"/>
                <w:sz w:val="20"/>
                <w:szCs w:val="20"/>
              </w:rPr>
              <w:t>13</w:t>
            </w:r>
            <w:r w:rsidRPr="00CD1D20">
              <w:rPr>
                <w:rFonts w:asciiTheme="minorHAnsi" w:hAnsiTheme="minorHAnsi" w:cstheme="minorHAnsi"/>
                <w:b/>
                <w:color w:val="365F91" w:themeColor="accent1" w:themeShade="BF"/>
                <w:sz w:val="20"/>
                <w:szCs w:val="20"/>
              </w:rPr>
              <w:t>:  Individuals with Dementias in State Hospitals</w:t>
            </w:r>
          </w:p>
        </w:tc>
      </w:tr>
      <w:tr w:rsidR="00775C3B" w:rsidRPr="00844F6D" w14:paraId="730CDB7C" w14:textId="77777777" w:rsidTr="00A61A4B">
        <w:trPr>
          <w:jc w:val="center"/>
        </w:trPr>
        <w:tc>
          <w:tcPr>
            <w:tcW w:w="2085" w:type="dxa"/>
            <w:vAlign w:val="center"/>
          </w:tcPr>
          <w:p w14:paraId="4B45FA84" w14:textId="77777777" w:rsidR="00775C3B" w:rsidRPr="00CD1D20" w:rsidRDefault="00775C3B" w:rsidP="00F46923">
            <w:pPr>
              <w:jc w:val="center"/>
              <w:rPr>
                <w:rFonts w:asciiTheme="minorHAnsi" w:hAnsiTheme="minorHAnsi" w:cstheme="minorHAnsi"/>
                <w:sz w:val="20"/>
                <w:szCs w:val="20"/>
              </w:rPr>
            </w:pPr>
            <w:r w:rsidRPr="00CD1D20">
              <w:rPr>
                <w:rFonts w:asciiTheme="minorHAnsi" w:hAnsiTheme="minorHAnsi" w:cstheme="minorHAnsi"/>
                <w:b/>
                <w:sz w:val="20"/>
                <w:szCs w:val="20"/>
              </w:rPr>
              <w:t>Diagnosis</w:t>
            </w:r>
          </w:p>
        </w:tc>
        <w:tc>
          <w:tcPr>
            <w:tcW w:w="2085" w:type="dxa"/>
          </w:tcPr>
          <w:p w14:paraId="56A88759" w14:textId="77777777" w:rsidR="00775C3B" w:rsidRPr="00CD1D20" w:rsidRDefault="00775C3B" w:rsidP="00F46923">
            <w:pPr>
              <w:jc w:val="center"/>
              <w:rPr>
                <w:rFonts w:asciiTheme="minorHAnsi" w:hAnsiTheme="minorHAnsi" w:cstheme="minorHAnsi"/>
                <w:sz w:val="20"/>
                <w:szCs w:val="20"/>
              </w:rPr>
            </w:pPr>
            <w:r w:rsidRPr="00CD1D20">
              <w:rPr>
                <w:rFonts w:asciiTheme="minorHAnsi" w:hAnsiTheme="minorHAnsi" w:cstheme="minorHAnsi"/>
                <w:b/>
                <w:sz w:val="20"/>
                <w:szCs w:val="20"/>
              </w:rPr>
              <w:t>Individuals Served</w:t>
            </w:r>
          </w:p>
        </w:tc>
        <w:tc>
          <w:tcPr>
            <w:tcW w:w="2085" w:type="dxa"/>
            <w:vAlign w:val="center"/>
          </w:tcPr>
          <w:p w14:paraId="1A5D42AB" w14:textId="77777777" w:rsidR="00775C3B" w:rsidRPr="00CD1D20" w:rsidRDefault="00775C3B" w:rsidP="00F46923">
            <w:pPr>
              <w:jc w:val="center"/>
              <w:rPr>
                <w:rFonts w:asciiTheme="minorHAnsi" w:hAnsiTheme="minorHAnsi" w:cstheme="minorHAnsi"/>
                <w:sz w:val="20"/>
                <w:szCs w:val="20"/>
              </w:rPr>
            </w:pPr>
            <w:r w:rsidRPr="00CD1D20">
              <w:rPr>
                <w:rFonts w:asciiTheme="minorHAnsi" w:hAnsiTheme="minorHAnsi" w:cstheme="minorHAnsi"/>
                <w:b/>
                <w:sz w:val="20"/>
                <w:szCs w:val="20"/>
              </w:rPr>
              <w:t>Diagnosis</w:t>
            </w:r>
          </w:p>
        </w:tc>
        <w:tc>
          <w:tcPr>
            <w:tcW w:w="2085" w:type="dxa"/>
          </w:tcPr>
          <w:p w14:paraId="06D34BBA" w14:textId="77777777" w:rsidR="00775C3B" w:rsidRPr="00CD1D20" w:rsidRDefault="00775C3B" w:rsidP="00F46923">
            <w:pPr>
              <w:jc w:val="center"/>
              <w:rPr>
                <w:rFonts w:asciiTheme="minorHAnsi" w:hAnsiTheme="minorHAnsi" w:cstheme="minorHAnsi"/>
                <w:sz w:val="20"/>
                <w:szCs w:val="20"/>
              </w:rPr>
            </w:pPr>
            <w:r w:rsidRPr="00CD1D20">
              <w:rPr>
                <w:rFonts w:asciiTheme="minorHAnsi" w:hAnsiTheme="minorHAnsi" w:cstheme="minorHAnsi"/>
                <w:b/>
                <w:sz w:val="20"/>
                <w:szCs w:val="20"/>
              </w:rPr>
              <w:t>Individuals Served</w:t>
            </w:r>
          </w:p>
        </w:tc>
      </w:tr>
      <w:tr w:rsidR="009B5509" w:rsidRPr="009B5509" w14:paraId="3CF82853" w14:textId="77777777" w:rsidTr="00A61A4B">
        <w:trPr>
          <w:jc w:val="center"/>
        </w:trPr>
        <w:tc>
          <w:tcPr>
            <w:tcW w:w="2085" w:type="dxa"/>
          </w:tcPr>
          <w:p w14:paraId="4F4D17BC" w14:textId="77777777" w:rsidR="0068340B" w:rsidRPr="009B5509" w:rsidRDefault="0068340B" w:rsidP="0068340B">
            <w:pPr>
              <w:jc w:val="center"/>
              <w:rPr>
                <w:rFonts w:asciiTheme="minorHAnsi" w:hAnsiTheme="minorHAnsi" w:cstheme="minorHAnsi"/>
                <w:i/>
                <w:sz w:val="20"/>
                <w:szCs w:val="20"/>
              </w:rPr>
            </w:pPr>
            <w:r w:rsidRPr="009B5509">
              <w:rPr>
                <w:rFonts w:asciiTheme="minorHAnsi" w:hAnsiTheme="minorHAnsi" w:cstheme="minorHAnsi"/>
                <w:sz w:val="20"/>
                <w:szCs w:val="20"/>
              </w:rPr>
              <w:t>Adults 18 - 64</w:t>
            </w:r>
          </w:p>
        </w:tc>
        <w:tc>
          <w:tcPr>
            <w:tcW w:w="2085" w:type="dxa"/>
          </w:tcPr>
          <w:p w14:paraId="5B947285" w14:textId="588CEF4F" w:rsidR="0068340B" w:rsidRPr="009B5509" w:rsidRDefault="0068340B" w:rsidP="0068340B">
            <w:pPr>
              <w:jc w:val="center"/>
              <w:rPr>
                <w:rFonts w:asciiTheme="minorHAnsi" w:hAnsiTheme="minorHAnsi" w:cstheme="minorHAnsi"/>
                <w:i/>
                <w:sz w:val="20"/>
                <w:szCs w:val="20"/>
              </w:rPr>
            </w:pPr>
            <w:r w:rsidRPr="009B5509">
              <w:rPr>
                <w:rFonts w:asciiTheme="minorHAnsi" w:hAnsiTheme="minorHAnsi" w:cstheme="minorHAnsi"/>
                <w:sz w:val="20"/>
                <w:szCs w:val="20"/>
              </w:rPr>
              <w:t>4300</w:t>
            </w:r>
          </w:p>
        </w:tc>
        <w:tc>
          <w:tcPr>
            <w:tcW w:w="2085" w:type="dxa"/>
          </w:tcPr>
          <w:p w14:paraId="68FA2F62" w14:textId="031482A2" w:rsidR="0068340B" w:rsidRPr="009B5509" w:rsidRDefault="0068340B" w:rsidP="0068340B">
            <w:pPr>
              <w:jc w:val="center"/>
              <w:rPr>
                <w:rFonts w:asciiTheme="minorHAnsi" w:hAnsiTheme="minorHAnsi" w:cstheme="minorHAnsi"/>
                <w:i/>
                <w:sz w:val="20"/>
                <w:szCs w:val="20"/>
              </w:rPr>
            </w:pPr>
            <w:r w:rsidRPr="009B5509">
              <w:rPr>
                <w:rFonts w:asciiTheme="minorHAnsi" w:hAnsiTheme="minorHAnsi" w:cstheme="minorHAnsi"/>
                <w:sz w:val="20"/>
                <w:szCs w:val="20"/>
              </w:rPr>
              <w:t>Older Adults 65+</w:t>
            </w:r>
          </w:p>
        </w:tc>
        <w:tc>
          <w:tcPr>
            <w:tcW w:w="2085" w:type="dxa"/>
          </w:tcPr>
          <w:p w14:paraId="60F89EFD" w14:textId="030B7CEF" w:rsidR="0068340B" w:rsidRPr="009B5509" w:rsidRDefault="0068340B" w:rsidP="0068340B">
            <w:pPr>
              <w:jc w:val="center"/>
              <w:rPr>
                <w:rFonts w:asciiTheme="minorHAnsi" w:hAnsiTheme="minorHAnsi" w:cstheme="minorHAnsi"/>
                <w:i/>
                <w:sz w:val="20"/>
                <w:szCs w:val="20"/>
              </w:rPr>
            </w:pPr>
            <w:r w:rsidRPr="009B5509">
              <w:rPr>
                <w:rFonts w:asciiTheme="minorHAnsi" w:hAnsiTheme="minorHAnsi" w:cstheme="minorHAnsi"/>
                <w:sz w:val="20"/>
                <w:szCs w:val="20"/>
              </w:rPr>
              <w:t>695</w:t>
            </w:r>
          </w:p>
        </w:tc>
      </w:tr>
      <w:tr w:rsidR="009B5509" w:rsidRPr="009B5509" w14:paraId="4EACA488" w14:textId="77777777" w:rsidTr="00A61A4B">
        <w:trPr>
          <w:jc w:val="center"/>
        </w:trPr>
        <w:tc>
          <w:tcPr>
            <w:tcW w:w="2085" w:type="dxa"/>
          </w:tcPr>
          <w:p w14:paraId="172FDEE2" w14:textId="77777777"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Other Dementias</w:t>
            </w:r>
          </w:p>
        </w:tc>
        <w:tc>
          <w:tcPr>
            <w:tcW w:w="2085" w:type="dxa"/>
          </w:tcPr>
          <w:p w14:paraId="228638B4" w14:textId="115F5178"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10</w:t>
            </w:r>
          </w:p>
        </w:tc>
        <w:tc>
          <w:tcPr>
            <w:tcW w:w="2085" w:type="dxa"/>
          </w:tcPr>
          <w:p w14:paraId="123A1880" w14:textId="773F9446"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Other Dementias</w:t>
            </w:r>
          </w:p>
        </w:tc>
        <w:tc>
          <w:tcPr>
            <w:tcW w:w="2085" w:type="dxa"/>
          </w:tcPr>
          <w:p w14:paraId="59CAA870" w14:textId="6B2E83D2"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79</w:t>
            </w:r>
          </w:p>
        </w:tc>
      </w:tr>
      <w:tr w:rsidR="009B5509" w:rsidRPr="009B5509" w14:paraId="0F3E0F79" w14:textId="77777777" w:rsidTr="00A61A4B">
        <w:trPr>
          <w:jc w:val="center"/>
        </w:trPr>
        <w:tc>
          <w:tcPr>
            <w:tcW w:w="2085" w:type="dxa"/>
          </w:tcPr>
          <w:p w14:paraId="5030D90F" w14:textId="77777777"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Alzheimer’s</w:t>
            </w:r>
          </w:p>
        </w:tc>
        <w:tc>
          <w:tcPr>
            <w:tcW w:w="2085" w:type="dxa"/>
          </w:tcPr>
          <w:p w14:paraId="7D04049D" w14:textId="4F3F075A"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57</w:t>
            </w:r>
          </w:p>
        </w:tc>
        <w:tc>
          <w:tcPr>
            <w:tcW w:w="2085" w:type="dxa"/>
          </w:tcPr>
          <w:p w14:paraId="1E31F805" w14:textId="54A2A783"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Alzheimer’s</w:t>
            </w:r>
          </w:p>
        </w:tc>
        <w:tc>
          <w:tcPr>
            <w:tcW w:w="2085" w:type="dxa"/>
          </w:tcPr>
          <w:p w14:paraId="7E048A64" w14:textId="6B235082"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104</w:t>
            </w:r>
          </w:p>
        </w:tc>
      </w:tr>
      <w:tr w:rsidR="009B5509" w:rsidRPr="009B5509" w14:paraId="15B13F75" w14:textId="77777777" w:rsidTr="00A61A4B">
        <w:trPr>
          <w:jc w:val="center"/>
        </w:trPr>
        <w:tc>
          <w:tcPr>
            <w:tcW w:w="2085" w:type="dxa"/>
          </w:tcPr>
          <w:p w14:paraId="5AE45339" w14:textId="77777777"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Dementia</w:t>
            </w:r>
          </w:p>
        </w:tc>
        <w:tc>
          <w:tcPr>
            <w:tcW w:w="2085" w:type="dxa"/>
          </w:tcPr>
          <w:p w14:paraId="04598961" w14:textId="2785DD43"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23</w:t>
            </w:r>
          </w:p>
        </w:tc>
        <w:tc>
          <w:tcPr>
            <w:tcW w:w="2085" w:type="dxa"/>
          </w:tcPr>
          <w:p w14:paraId="79F7EF47" w14:textId="170A34B0"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Dementia</w:t>
            </w:r>
          </w:p>
        </w:tc>
        <w:tc>
          <w:tcPr>
            <w:tcW w:w="2085" w:type="dxa"/>
          </w:tcPr>
          <w:p w14:paraId="37A37AF8" w14:textId="32C93530"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22</w:t>
            </w:r>
          </w:p>
        </w:tc>
      </w:tr>
      <w:tr w:rsidR="009B5509" w:rsidRPr="009B5509" w14:paraId="6D3F9F68" w14:textId="77777777" w:rsidTr="00A61A4B">
        <w:trPr>
          <w:jc w:val="center"/>
        </w:trPr>
        <w:tc>
          <w:tcPr>
            <w:tcW w:w="2085" w:type="dxa"/>
          </w:tcPr>
          <w:p w14:paraId="4BDC2A4B" w14:textId="77777777"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Unduplicated Total</w:t>
            </w:r>
          </w:p>
        </w:tc>
        <w:tc>
          <w:tcPr>
            <w:tcW w:w="2085" w:type="dxa"/>
          </w:tcPr>
          <w:p w14:paraId="584F6153" w14:textId="5EA7B94C"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83</w:t>
            </w:r>
          </w:p>
        </w:tc>
        <w:tc>
          <w:tcPr>
            <w:tcW w:w="2085" w:type="dxa"/>
          </w:tcPr>
          <w:p w14:paraId="7855A46F" w14:textId="38B27247"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Unduplicated Total</w:t>
            </w:r>
          </w:p>
        </w:tc>
        <w:tc>
          <w:tcPr>
            <w:tcW w:w="2085" w:type="dxa"/>
          </w:tcPr>
          <w:p w14:paraId="08923D20" w14:textId="3DBAD7F5"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171</w:t>
            </w:r>
          </w:p>
        </w:tc>
      </w:tr>
      <w:tr w:rsidR="009B5509" w:rsidRPr="009B5509" w14:paraId="54ABFC68" w14:textId="77777777" w:rsidTr="00A61A4B">
        <w:trPr>
          <w:jc w:val="center"/>
        </w:trPr>
        <w:tc>
          <w:tcPr>
            <w:tcW w:w="2085" w:type="dxa"/>
          </w:tcPr>
          <w:p w14:paraId="3CD34E1F" w14:textId="77777777"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Percent of 18 - 64</w:t>
            </w:r>
          </w:p>
        </w:tc>
        <w:tc>
          <w:tcPr>
            <w:tcW w:w="2085" w:type="dxa"/>
          </w:tcPr>
          <w:p w14:paraId="1168C020" w14:textId="28C2D1BB"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2%</w:t>
            </w:r>
          </w:p>
        </w:tc>
        <w:tc>
          <w:tcPr>
            <w:tcW w:w="2085" w:type="dxa"/>
          </w:tcPr>
          <w:p w14:paraId="7A9F3C53" w14:textId="496A12C3"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Percent of 65+</w:t>
            </w:r>
          </w:p>
        </w:tc>
        <w:tc>
          <w:tcPr>
            <w:tcW w:w="2085" w:type="dxa"/>
          </w:tcPr>
          <w:p w14:paraId="49DA3EE7" w14:textId="1C5F71D9" w:rsidR="0068340B" w:rsidRPr="009B5509" w:rsidRDefault="0068340B" w:rsidP="0068340B">
            <w:pPr>
              <w:jc w:val="center"/>
              <w:rPr>
                <w:rFonts w:asciiTheme="minorHAnsi" w:hAnsiTheme="minorHAnsi" w:cstheme="minorHAnsi"/>
                <w:sz w:val="20"/>
                <w:szCs w:val="20"/>
              </w:rPr>
            </w:pPr>
            <w:r w:rsidRPr="009B5509">
              <w:rPr>
                <w:rFonts w:asciiTheme="minorHAnsi" w:hAnsiTheme="minorHAnsi" w:cstheme="minorHAnsi"/>
                <w:sz w:val="20"/>
                <w:szCs w:val="20"/>
              </w:rPr>
              <w:t>25%</w:t>
            </w:r>
          </w:p>
        </w:tc>
      </w:tr>
    </w:tbl>
    <w:p w14:paraId="64FF0F79" w14:textId="3B255B1E" w:rsidR="00775C3B" w:rsidRPr="00B53D14" w:rsidRDefault="00775C3B" w:rsidP="00F46923">
      <w:pPr>
        <w:pStyle w:val="NoSpacing"/>
        <w:ind w:left="450"/>
        <w:rPr>
          <w:rFonts w:ascii="Times New Roman" w:hAnsi="Times New Roman"/>
          <w:i/>
          <w:noProof/>
          <w:sz w:val="18"/>
          <w:szCs w:val="18"/>
        </w:rPr>
      </w:pPr>
      <w:r w:rsidRPr="009B5509">
        <w:rPr>
          <w:rFonts w:ascii="Times New Roman" w:hAnsi="Times New Roman"/>
          <w:b/>
          <w:i/>
          <w:noProof/>
          <w:sz w:val="18"/>
          <w:szCs w:val="18"/>
        </w:rPr>
        <w:t>Note</w:t>
      </w:r>
      <w:r w:rsidRPr="009B5509">
        <w:rPr>
          <w:rFonts w:ascii="Times New Roman" w:hAnsi="Times New Roman"/>
          <w:i/>
          <w:noProof/>
          <w:sz w:val="18"/>
          <w:szCs w:val="18"/>
        </w:rPr>
        <w:t xml:space="preserve">: </w:t>
      </w:r>
      <w:r w:rsidRPr="009B5509">
        <w:rPr>
          <w:rFonts w:ascii="Times New Roman" w:eastAsiaTheme="minorEastAsia" w:hAnsi="Times New Roman"/>
          <w:i/>
          <w:noProof/>
          <w:sz w:val="18"/>
          <w:szCs w:val="18"/>
        </w:rPr>
        <w:t>In FY 202</w:t>
      </w:r>
      <w:r w:rsidR="0068340B" w:rsidRPr="009B5509">
        <w:rPr>
          <w:rFonts w:ascii="Times New Roman" w:eastAsiaTheme="minorEastAsia" w:hAnsi="Times New Roman"/>
          <w:i/>
          <w:noProof/>
          <w:sz w:val="18"/>
          <w:szCs w:val="18"/>
        </w:rPr>
        <w:t>2</w:t>
      </w:r>
      <w:r w:rsidRPr="009B5509">
        <w:rPr>
          <w:rFonts w:ascii="Times New Roman" w:eastAsiaTheme="minorEastAsia" w:hAnsi="Times New Roman"/>
          <w:i/>
          <w:noProof/>
          <w:sz w:val="18"/>
          <w:szCs w:val="18"/>
        </w:rPr>
        <w:t xml:space="preserve">, SEVTC served only one individual with dementia, HDMC served </w:t>
      </w:r>
      <w:r w:rsidR="0068340B" w:rsidRPr="009B5509">
        <w:rPr>
          <w:rFonts w:ascii="Times New Roman" w:eastAsiaTheme="minorEastAsia" w:hAnsi="Times New Roman"/>
          <w:i/>
          <w:noProof/>
          <w:sz w:val="18"/>
          <w:szCs w:val="18"/>
        </w:rPr>
        <w:t>two</w:t>
      </w:r>
      <w:r w:rsidRPr="009B5509">
        <w:rPr>
          <w:rFonts w:ascii="Times New Roman" w:eastAsiaTheme="minorEastAsia" w:hAnsi="Times New Roman"/>
          <w:i/>
          <w:noProof/>
          <w:sz w:val="18"/>
          <w:szCs w:val="18"/>
        </w:rPr>
        <w:t>, and VC</w:t>
      </w:r>
      <w:r w:rsidRPr="00B53D14">
        <w:rPr>
          <w:rFonts w:ascii="Times New Roman" w:eastAsiaTheme="minorEastAsia" w:hAnsi="Times New Roman"/>
          <w:i/>
          <w:noProof/>
          <w:sz w:val="18"/>
          <w:szCs w:val="18"/>
        </w:rPr>
        <w:t xml:space="preserve">BR served </w:t>
      </w:r>
      <w:r w:rsidR="0068340B">
        <w:rPr>
          <w:rFonts w:ascii="Times New Roman" w:eastAsiaTheme="minorEastAsia" w:hAnsi="Times New Roman"/>
          <w:i/>
          <w:noProof/>
          <w:sz w:val="18"/>
          <w:szCs w:val="18"/>
        </w:rPr>
        <w:t>two</w:t>
      </w:r>
      <w:r w:rsidRPr="00B53D14">
        <w:rPr>
          <w:rFonts w:ascii="Times New Roman" w:eastAsiaTheme="minorEastAsia" w:hAnsi="Times New Roman"/>
          <w:i/>
          <w:noProof/>
          <w:sz w:val="18"/>
          <w:szCs w:val="18"/>
        </w:rPr>
        <w:t>.</w:t>
      </w:r>
    </w:p>
    <w:p w14:paraId="41AF4447" w14:textId="77777777" w:rsidR="00990E9E" w:rsidRPr="00C0133E" w:rsidRDefault="00990E9E" w:rsidP="00F46923">
      <w:pPr>
        <w:ind w:left="432" w:hanging="432"/>
        <w:rPr>
          <w:b/>
          <w:sz w:val="2"/>
          <w:szCs w:val="2"/>
          <w:highlight w:val="magenta"/>
        </w:rPr>
      </w:pPr>
    </w:p>
    <w:p w14:paraId="0C630A14" w14:textId="77777777" w:rsidR="00990E9E" w:rsidRPr="00C0133E" w:rsidRDefault="00990E9E" w:rsidP="00F46923">
      <w:pPr>
        <w:ind w:left="432" w:hanging="432"/>
        <w:rPr>
          <w:b/>
          <w:sz w:val="2"/>
          <w:szCs w:val="2"/>
          <w:highlight w:val="magenta"/>
        </w:rPr>
      </w:pPr>
    </w:p>
    <w:p w14:paraId="518B183C" w14:textId="77777777" w:rsidR="00990E9E" w:rsidRPr="00C0133E" w:rsidRDefault="00990E9E" w:rsidP="00F46923">
      <w:pPr>
        <w:ind w:left="432" w:hanging="432"/>
        <w:rPr>
          <w:b/>
          <w:sz w:val="2"/>
          <w:szCs w:val="2"/>
          <w:highlight w:val="magenta"/>
        </w:rPr>
      </w:pPr>
    </w:p>
    <w:p w14:paraId="69536323" w14:textId="77777777" w:rsidR="00990E9E" w:rsidRPr="00C0133E" w:rsidRDefault="00990E9E" w:rsidP="00F46923">
      <w:pPr>
        <w:ind w:left="432" w:hanging="432"/>
        <w:rPr>
          <w:b/>
          <w:sz w:val="2"/>
          <w:szCs w:val="2"/>
          <w:highlight w:val="magenta"/>
        </w:rPr>
      </w:pPr>
    </w:p>
    <w:p w14:paraId="608C8314" w14:textId="77777777" w:rsidR="00990E9E" w:rsidRPr="00C0133E" w:rsidRDefault="00990E9E" w:rsidP="00F46923">
      <w:pPr>
        <w:ind w:left="432" w:hanging="432"/>
        <w:rPr>
          <w:b/>
          <w:sz w:val="2"/>
          <w:szCs w:val="2"/>
          <w:highlight w:val="magenta"/>
        </w:rPr>
      </w:pPr>
    </w:p>
    <w:p w14:paraId="17E48778" w14:textId="77777777" w:rsidR="00990E9E" w:rsidRPr="007E5D0B" w:rsidRDefault="00990E9E" w:rsidP="00F46923">
      <w:pPr>
        <w:ind w:left="432" w:hanging="432"/>
        <w:rPr>
          <w:b/>
          <w:sz w:val="2"/>
          <w:szCs w:val="2"/>
        </w:rPr>
      </w:pPr>
    </w:p>
    <w:p w14:paraId="7804E992" w14:textId="77777777" w:rsidR="00990E9E" w:rsidRPr="007E5D0B" w:rsidRDefault="00990E9E" w:rsidP="00F46923">
      <w:pPr>
        <w:ind w:left="432" w:hanging="432"/>
        <w:rPr>
          <w:b/>
          <w:sz w:val="2"/>
          <w:szCs w:val="2"/>
        </w:rPr>
      </w:pPr>
    </w:p>
    <w:p w14:paraId="386389C7" w14:textId="77777777" w:rsidR="00990E9E" w:rsidRPr="007E5D0B" w:rsidRDefault="00990E9E" w:rsidP="00F46923">
      <w:pPr>
        <w:ind w:left="432" w:hanging="432"/>
        <w:rPr>
          <w:b/>
          <w:sz w:val="2"/>
          <w:szCs w:val="2"/>
        </w:rPr>
      </w:pPr>
    </w:p>
    <w:p w14:paraId="75A32CD4" w14:textId="77777777" w:rsidR="00990E9E" w:rsidRPr="007E5D0B" w:rsidRDefault="00990E9E" w:rsidP="00F46923">
      <w:pPr>
        <w:ind w:left="432" w:hanging="432"/>
        <w:rPr>
          <w:b/>
          <w:sz w:val="2"/>
          <w:szCs w:val="2"/>
        </w:rPr>
      </w:pPr>
    </w:p>
    <w:p w14:paraId="6647AC57" w14:textId="375C93E9" w:rsidR="006540CF" w:rsidRPr="007E5D0B" w:rsidRDefault="006540CF" w:rsidP="00F46923">
      <w:pPr>
        <w:ind w:left="432" w:hanging="432"/>
        <w:rPr>
          <w:b/>
          <w:sz w:val="36"/>
          <w:szCs w:val="36"/>
        </w:rPr>
      </w:pPr>
      <w:bookmarkStart w:id="2" w:name="Service_Capacities"/>
      <w:r w:rsidRPr="007E5D0B">
        <w:rPr>
          <w:b/>
          <w:sz w:val="36"/>
          <w:szCs w:val="36"/>
        </w:rPr>
        <w:t xml:space="preserve">Service Capacities of CSBs and State </w:t>
      </w:r>
      <w:r w:rsidR="001D2A99" w:rsidRPr="007E5D0B">
        <w:rPr>
          <w:b/>
          <w:sz w:val="36"/>
          <w:szCs w:val="36"/>
        </w:rPr>
        <w:t>Facilities</w:t>
      </w:r>
    </w:p>
    <w:bookmarkEnd w:id="2"/>
    <w:p w14:paraId="66AB61C4" w14:textId="72E121A8" w:rsidR="006540CF" w:rsidRDefault="006540CF" w:rsidP="00F46923">
      <w:pPr>
        <w:spacing w:before="160" w:after="160"/>
      </w:pPr>
      <w:r w:rsidRPr="00D40C92">
        <w:t xml:space="preserve">Figure </w:t>
      </w:r>
      <w:r w:rsidR="007E5D0B">
        <w:t>14</w:t>
      </w:r>
      <w:r w:rsidRPr="00D40C92">
        <w:t xml:space="preserve"> displays full time equivalent (FTE), bed, or slot service capacities for each core service.</w:t>
      </w:r>
      <w:r w:rsidR="00844F6D">
        <w:t xml:space="preserve"> </w:t>
      </w:r>
    </w:p>
    <w:tbl>
      <w:tblPr>
        <w:tblStyle w:val="TableGrid"/>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9" w:type="dxa"/>
          <w:right w:w="29" w:type="dxa"/>
        </w:tblCellMar>
        <w:tblLook w:val="04A0" w:firstRow="1" w:lastRow="0" w:firstColumn="1" w:lastColumn="0" w:noHBand="0" w:noVBand="1"/>
      </w:tblPr>
      <w:tblGrid>
        <w:gridCol w:w="3775"/>
        <w:gridCol w:w="1170"/>
        <w:gridCol w:w="90"/>
        <w:gridCol w:w="3510"/>
        <w:gridCol w:w="1080"/>
      </w:tblGrid>
      <w:tr w:rsidR="00D42FBB" w:rsidRPr="00F047E1" w14:paraId="426E79FE" w14:textId="77777777" w:rsidTr="00D42FBB">
        <w:trPr>
          <w:jc w:val="center"/>
        </w:trPr>
        <w:tc>
          <w:tcPr>
            <w:tcW w:w="9625" w:type="dxa"/>
            <w:gridSpan w:val="5"/>
          </w:tcPr>
          <w:p w14:paraId="57D28613" w14:textId="729E9BE7" w:rsidR="00D42FBB" w:rsidRPr="00F047E1" w:rsidRDefault="00D42FBB" w:rsidP="00F46923">
            <w:pPr>
              <w:jc w:val="center"/>
              <w:rPr>
                <w:rFonts w:ascii="Calibri" w:hAnsi="Calibri" w:cs="Calibri"/>
                <w:b/>
                <w:color w:val="FF0000"/>
                <w:sz w:val="20"/>
                <w:szCs w:val="20"/>
              </w:rPr>
            </w:pPr>
            <w:r w:rsidRPr="009B5509">
              <w:rPr>
                <w:rFonts w:ascii="Calibri" w:hAnsi="Calibri" w:cs="Calibri"/>
                <w:b/>
                <w:color w:val="365F91" w:themeColor="accent1" w:themeShade="BF"/>
                <w:sz w:val="20"/>
                <w:szCs w:val="20"/>
              </w:rPr>
              <w:t>Figure 1</w:t>
            </w:r>
            <w:r w:rsidR="007E5D0B" w:rsidRPr="009B5509">
              <w:rPr>
                <w:rFonts w:ascii="Calibri" w:hAnsi="Calibri" w:cs="Calibri"/>
                <w:b/>
                <w:color w:val="365F91" w:themeColor="accent1" w:themeShade="BF"/>
                <w:sz w:val="20"/>
                <w:szCs w:val="20"/>
              </w:rPr>
              <w:t>4</w:t>
            </w:r>
            <w:r w:rsidRPr="00F047E1">
              <w:rPr>
                <w:rFonts w:ascii="Calibri" w:hAnsi="Calibri" w:cs="Calibri"/>
                <w:b/>
                <w:color w:val="365F91" w:themeColor="accent1" w:themeShade="BF"/>
                <w:sz w:val="20"/>
                <w:szCs w:val="20"/>
              </w:rPr>
              <w:t>:  Service Capacities of CSBs and State Hospitals and Centers in FY 202</w:t>
            </w:r>
            <w:r w:rsidR="00F815D5">
              <w:rPr>
                <w:rFonts w:ascii="Calibri" w:hAnsi="Calibri" w:cs="Calibri"/>
                <w:b/>
                <w:color w:val="365F91" w:themeColor="accent1" w:themeShade="BF"/>
                <w:sz w:val="20"/>
                <w:szCs w:val="20"/>
              </w:rPr>
              <w:t>2</w:t>
            </w:r>
          </w:p>
        </w:tc>
      </w:tr>
      <w:tr w:rsidR="009B5509" w:rsidRPr="009B5509" w14:paraId="3A592060" w14:textId="77777777" w:rsidTr="00941693">
        <w:trPr>
          <w:jc w:val="center"/>
        </w:trPr>
        <w:tc>
          <w:tcPr>
            <w:tcW w:w="3775" w:type="dxa"/>
            <w:vAlign w:val="center"/>
          </w:tcPr>
          <w:p w14:paraId="234ADF1D" w14:textId="77777777" w:rsidR="00D42FBB" w:rsidRPr="009B5509" w:rsidRDefault="00D42FBB" w:rsidP="00F46923">
            <w:pPr>
              <w:rPr>
                <w:rFonts w:ascii="Calibri" w:hAnsi="Calibri" w:cs="Calibri"/>
                <w:bCs/>
                <w:sz w:val="20"/>
                <w:szCs w:val="20"/>
              </w:rPr>
            </w:pPr>
            <w:r w:rsidRPr="009B5509">
              <w:rPr>
                <w:rFonts w:ascii="Calibri" w:hAnsi="Calibri" w:cs="Calibri"/>
                <w:bCs/>
                <w:sz w:val="20"/>
                <w:szCs w:val="20"/>
              </w:rPr>
              <w:t>Emergency Services</w:t>
            </w:r>
          </w:p>
        </w:tc>
        <w:tc>
          <w:tcPr>
            <w:tcW w:w="1170" w:type="dxa"/>
            <w:vAlign w:val="center"/>
          </w:tcPr>
          <w:p w14:paraId="0A5E2D36" w14:textId="1C5D4560" w:rsidR="00D42FBB" w:rsidRPr="009B5509" w:rsidRDefault="00FD6442" w:rsidP="00F46923">
            <w:pPr>
              <w:jc w:val="right"/>
              <w:rPr>
                <w:rFonts w:ascii="Calibri" w:hAnsi="Calibri" w:cs="Calibri"/>
                <w:bCs/>
                <w:sz w:val="20"/>
                <w:szCs w:val="20"/>
              </w:rPr>
            </w:pPr>
            <w:r w:rsidRPr="009B5509">
              <w:rPr>
                <w:rFonts w:ascii="Calibri" w:hAnsi="Calibri" w:cs="Calibri"/>
                <w:bCs/>
                <w:sz w:val="20"/>
                <w:szCs w:val="20"/>
              </w:rPr>
              <w:t>588 FTEs</w:t>
            </w:r>
          </w:p>
        </w:tc>
        <w:tc>
          <w:tcPr>
            <w:tcW w:w="90" w:type="dxa"/>
            <w:shd w:val="clear" w:color="auto" w:fill="BFBFBF" w:themeFill="background1" w:themeFillShade="BF"/>
          </w:tcPr>
          <w:p w14:paraId="598A4681" w14:textId="77777777" w:rsidR="00D42FBB" w:rsidRPr="009B5509" w:rsidRDefault="00D42FBB" w:rsidP="00F46923">
            <w:pPr>
              <w:rPr>
                <w:rFonts w:ascii="Calibri" w:hAnsi="Calibri" w:cs="Calibri"/>
                <w:sz w:val="20"/>
                <w:szCs w:val="20"/>
              </w:rPr>
            </w:pPr>
          </w:p>
        </w:tc>
        <w:tc>
          <w:tcPr>
            <w:tcW w:w="3510" w:type="dxa"/>
            <w:vAlign w:val="center"/>
          </w:tcPr>
          <w:p w14:paraId="59F923A4" w14:textId="546FA142" w:rsidR="00D42FBB" w:rsidRPr="009B5509" w:rsidRDefault="00D42FBB" w:rsidP="00F46923">
            <w:pPr>
              <w:rPr>
                <w:rFonts w:ascii="Calibri" w:hAnsi="Calibri" w:cs="Calibri"/>
                <w:b/>
                <w:sz w:val="20"/>
                <w:szCs w:val="20"/>
              </w:rPr>
            </w:pPr>
            <w:r w:rsidRPr="009B5509">
              <w:rPr>
                <w:rFonts w:ascii="Calibri" w:hAnsi="Calibri" w:cs="Calibri"/>
                <w:sz w:val="20"/>
                <w:szCs w:val="20"/>
              </w:rPr>
              <w:t>Early Intervention Services</w:t>
            </w:r>
          </w:p>
        </w:tc>
        <w:tc>
          <w:tcPr>
            <w:tcW w:w="1080" w:type="dxa"/>
          </w:tcPr>
          <w:p w14:paraId="45D93F2B" w14:textId="05A56C34" w:rsidR="00D42FBB" w:rsidRPr="009B5509" w:rsidRDefault="00FD6442" w:rsidP="00F46923">
            <w:pPr>
              <w:jc w:val="right"/>
              <w:rPr>
                <w:rFonts w:ascii="Calibri" w:hAnsi="Calibri" w:cs="Calibri"/>
                <w:sz w:val="20"/>
                <w:szCs w:val="20"/>
              </w:rPr>
            </w:pPr>
            <w:r w:rsidRPr="009B5509">
              <w:rPr>
                <w:rFonts w:ascii="Calibri" w:hAnsi="Calibri" w:cs="Calibri"/>
                <w:sz w:val="20"/>
                <w:szCs w:val="20"/>
              </w:rPr>
              <w:t>22 FTEs</w:t>
            </w:r>
          </w:p>
        </w:tc>
      </w:tr>
      <w:tr w:rsidR="009B5509" w:rsidRPr="009B5509" w14:paraId="3F257DD6" w14:textId="77777777" w:rsidTr="00941693">
        <w:trPr>
          <w:jc w:val="center"/>
        </w:trPr>
        <w:tc>
          <w:tcPr>
            <w:tcW w:w="3775" w:type="dxa"/>
            <w:vAlign w:val="center"/>
          </w:tcPr>
          <w:p w14:paraId="083BCEDB" w14:textId="77777777" w:rsidR="00D42FBB" w:rsidRPr="009B5509" w:rsidRDefault="00D42FBB" w:rsidP="00F46923">
            <w:pPr>
              <w:rPr>
                <w:rFonts w:ascii="Calibri" w:hAnsi="Calibri" w:cs="Calibri"/>
                <w:sz w:val="20"/>
                <w:szCs w:val="20"/>
              </w:rPr>
            </w:pPr>
            <w:r w:rsidRPr="009B5509">
              <w:rPr>
                <w:rFonts w:ascii="Calibri" w:hAnsi="Calibri" w:cs="Calibri"/>
                <w:sz w:val="20"/>
                <w:szCs w:val="20"/>
              </w:rPr>
              <w:t>Motivational Treatment Services</w:t>
            </w:r>
          </w:p>
        </w:tc>
        <w:tc>
          <w:tcPr>
            <w:tcW w:w="1170" w:type="dxa"/>
          </w:tcPr>
          <w:p w14:paraId="797B6213" w14:textId="02B37620" w:rsidR="00D42FBB" w:rsidRPr="009B5509" w:rsidRDefault="00DE439B" w:rsidP="00F46923">
            <w:pPr>
              <w:jc w:val="right"/>
              <w:rPr>
                <w:rFonts w:ascii="Calibri" w:hAnsi="Calibri" w:cs="Calibri"/>
                <w:sz w:val="20"/>
                <w:szCs w:val="20"/>
              </w:rPr>
            </w:pPr>
            <w:r w:rsidRPr="009B5509">
              <w:rPr>
                <w:rFonts w:ascii="Calibri" w:hAnsi="Calibri" w:cs="Calibri"/>
                <w:sz w:val="20"/>
                <w:szCs w:val="20"/>
              </w:rPr>
              <w:t>18</w:t>
            </w:r>
            <w:r w:rsidR="00FD6442" w:rsidRPr="009B5509">
              <w:rPr>
                <w:rFonts w:ascii="Calibri" w:hAnsi="Calibri" w:cs="Calibri"/>
                <w:sz w:val="20"/>
                <w:szCs w:val="20"/>
              </w:rPr>
              <w:t xml:space="preserve"> FTEs</w:t>
            </w:r>
          </w:p>
        </w:tc>
        <w:tc>
          <w:tcPr>
            <w:tcW w:w="90" w:type="dxa"/>
            <w:shd w:val="clear" w:color="auto" w:fill="BFBFBF" w:themeFill="background1" w:themeFillShade="BF"/>
          </w:tcPr>
          <w:p w14:paraId="5AA08EEA" w14:textId="77777777" w:rsidR="00D42FBB" w:rsidRPr="009B5509" w:rsidRDefault="00D42FBB" w:rsidP="00F46923">
            <w:pPr>
              <w:rPr>
                <w:rFonts w:ascii="Calibri" w:hAnsi="Calibri" w:cs="Calibri"/>
                <w:sz w:val="20"/>
                <w:szCs w:val="20"/>
              </w:rPr>
            </w:pPr>
          </w:p>
        </w:tc>
        <w:tc>
          <w:tcPr>
            <w:tcW w:w="3510" w:type="dxa"/>
            <w:vAlign w:val="center"/>
          </w:tcPr>
          <w:p w14:paraId="0D6E6DCA" w14:textId="28BFA16D" w:rsidR="00D42FBB" w:rsidRPr="009B5509" w:rsidRDefault="00D42FBB" w:rsidP="00F46923">
            <w:pPr>
              <w:rPr>
                <w:rFonts w:ascii="Calibri" w:hAnsi="Calibri" w:cs="Calibri"/>
                <w:b/>
                <w:sz w:val="20"/>
                <w:szCs w:val="20"/>
              </w:rPr>
            </w:pPr>
            <w:r w:rsidRPr="009B5509">
              <w:rPr>
                <w:rFonts w:ascii="Calibri" w:hAnsi="Calibri" w:cs="Calibri"/>
                <w:sz w:val="20"/>
                <w:szCs w:val="20"/>
              </w:rPr>
              <w:t xml:space="preserve">Assessment and Evaluation </w:t>
            </w:r>
          </w:p>
        </w:tc>
        <w:tc>
          <w:tcPr>
            <w:tcW w:w="1080" w:type="dxa"/>
          </w:tcPr>
          <w:p w14:paraId="60768DA9" w14:textId="48E3CA04" w:rsidR="00D42FBB" w:rsidRPr="009B5509" w:rsidRDefault="00FD6442" w:rsidP="00F46923">
            <w:pPr>
              <w:jc w:val="right"/>
              <w:rPr>
                <w:rFonts w:ascii="Calibri" w:hAnsi="Calibri" w:cs="Calibri"/>
                <w:sz w:val="20"/>
                <w:szCs w:val="20"/>
              </w:rPr>
            </w:pPr>
            <w:r w:rsidRPr="009B5509">
              <w:rPr>
                <w:rFonts w:ascii="Calibri" w:hAnsi="Calibri" w:cs="Calibri"/>
                <w:sz w:val="20"/>
                <w:szCs w:val="20"/>
              </w:rPr>
              <w:t>284 FTEs</w:t>
            </w:r>
          </w:p>
        </w:tc>
      </w:tr>
      <w:tr w:rsidR="009B5509" w:rsidRPr="009B5509" w14:paraId="18ABFE3C" w14:textId="77777777" w:rsidTr="00941693">
        <w:trPr>
          <w:jc w:val="center"/>
        </w:trPr>
        <w:tc>
          <w:tcPr>
            <w:tcW w:w="3775" w:type="dxa"/>
            <w:vAlign w:val="center"/>
          </w:tcPr>
          <w:p w14:paraId="1C5954BC" w14:textId="77777777" w:rsidR="00D42FBB" w:rsidRPr="009B5509" w:rsidRDefault="00D42FBB" w:rsidP="00F46923">
            <w:pPr>
              <w:rPr>
                <w:rFonts w:ascii="Calibri" w:hAnsi="Calibri" w:cs="Calibri"/>
                <w:sz w:val="20"/>
                <w:szCs w:val="20"/>
              </w:rPr>
            </w:pPr>
            <w:r w:rsidRPr="009B5509">
              <w:rPr>
                <w:rFonts w:ascii="Calibri" w:hAnsi="Calibri" w:cs="Calibri"/>
                <w:sz w:val="20"/>
                <w:szCs w:val="20"/>
              </w:rPr>
              <w:t>Consumer Monitoring Services</w:t>
            </w:r>
          </w:p>
        </w:tc>
        <w:tc>
          <w:tcPr>
            <w:tcW w:w="1170" w:type="dxa"/>
          </w:tcPr>
          <w:p w14:paraId="2A14698B" w14:textId="59ED39DD" w:rsidR="00D42FBB" w:rsidRPr="009B5509" w:rsidRDefault="00DE439B" w:rsidP="00F46923">
            <w:pPr>
              <w:jc w:val="right"/>
              <w:rPr>
                <w:rFonts w:ascii="Calibri" w:hAnsi="Calibri" w:cs="Calibri"/>
                <w:sz w:val="20"/>
                <w:szCs w:val="20"/>
              </w:rPr>
            </w:pPr>
            <w:r w:rsidRPr="009B5509">
              <w:rPr>
                <w:rFonts w:ascii="Calibri" w:hAnsi="Calibri" w:cs="Calibri"/>
                <w:sz w:val="20"/>
                <w:szCs w:val="20"/>
              </w:rPr>
              <w:t>10</w:t>
            </w:r>
            <w:r w:rsidR="00FD6442" w:rsidRPr="009B5509">
              <w:rPr>
                <w:rFonts w:ascii="Calibri" w:hAnsi="Calibri" w:cs="Calibri"/>
                <w:sz w:val="20"/>
                <w:szCs w:val="20"/>
              </w:rPr>
              <w:t>9 FTEs</w:t>
            </w:r>
          </w:p>
        </w:tc>
        <w:tc>
          <w:tcPr>
            <w:tcW w:w="90" w:type="dxa"/>
            <w:shd w:val="clear" w:color="auto" w:fill="BFBFBF" w:themeFill="background1" w:themeFillShade="BF"/>
          </w:tcPr>
          <w:p w14:paraId="3C7BA7E4" w14:textId="77777777" w:rsidR="00D42FBB" w:rsidRPr="009B5509" w:rsidRDefault="00D42FBB" w:rsidP="00F46923">
            <w:pPr>
              <w:rPr>
                <w:rFonts w:ascii="Calibri" w:hAnsi="Calibri" w:cs="Calibri"/>
                <w:b/>
                <w:sz w:val="20"/>
                <w:szCs w:val="20"/>
              </w:rPr>
            </w:pPr>
          </w:p>
        </w:tc>
        <w:tc>
          <w:tcPr>
            <w:tcW w:w="3510" w:type="dxa"/>
            <w:vAlign w:val="center"/>
          </w:tcPr>
          <w:p w14:paraId="6C21CAA4" w14:textId="77681EAF" w:rsidR="00D42FBB" w:rsidRPr="009B5509" w:rsidRDefault="00D42FBB" w:rsidP="00F46923">
            <w:pPr>
              <w:rPr>
                <w:rFonts w:ascii="Calibri" w:hAnsi="Calibri" w:cs="Calibri"/>
                <w:b/>
                <w:sz w:val="20"/>
                <w:szCs w:val="20"/>
              </w:rPr>
            </w:pPr>
            <w:r w:rsidRPr="009B5509">
              <w:rPr>
                <w:rFonts w:ascii="Calibri" w:hAnsi="Calibri" w:cs="Calibri"/>
                <w:b/>
                <w:sz w:val="20"/>
                <w:szCs w:val="20"/>
              </w:rPr>
              <w:t>Total Ancillary Services</w:t>
            </w:r>
            <w:r w:rsidR="00FD6442" w:rsidRPr="009B5509">
              <w:rPr>
                <w:rFonts w:ascii="Calibri" w:hAnsi="Calibri" w:cs="Calibri"/>
                <w:b/>
                <w:sz w:val="20"/>
                <w:szCs w:val="20"/>
              </w:rPr>
              <w:t xml:space="preserve"> FTEs</w:t>
            </w:r>
          </w:p>
        </w:tc>
        <w:tc>
          <w:tcPr>
            <w:tcW w:w="1080" w:type="dxa"/>
          </w:tcPr>
          <w:p w14:paraId="6767EAEA" w14:textId="44BC9A0D" w:rsidR="00D42FBB" w:rsidRPr="009B5509" w:rsidRDefault="00FD6442" w:rsidP="00F46923">
            <w:pPr>
              <w:jc w:val="right"/>
              <w:rPr>
                <w:rFonts w:ascii="Calibri" w:hAnsi="Calibri" w:cs="Calibri"/>
                <w:b/>
                <w:sz w:val="20"/>
                <w:szCs w:val="20"/>
              </w:rPr>
            </w:pPr>
            <w:r w:rsidRPr="009B5509">
              <w:rPr>
                <w:rFonts w:ascii="Calibri" w:hAnsi="Calibri" w:cs="Calibri"/>
                <w:sz w:val="20"/>
                <w:szCs w:val="20"/>
              </w:rPr>
              <w:t>434 FTEs</w:t>
            </w:r>
          </w:p>
        </w:tc>
      </w:tr>
    </w:tbl>
    <w:tbl>
      <w:tblPr>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 w:type="dxa"/>
          <w:right w:w="14" w:type="dxa"/>
        </w:tblCellMar>
        <w:tblLook w:val="00A0" w:firstRow="1" w:lastRow="0" w:firstColumn="1" w:lastColumn="0" w:noHBand="0" w:noVBand="0"/>
      </w:tblPr>
      <w:tblGrid>
        <w:gridCol w:w="3654"/>
        <w:gridCol w:w="1960"/>
        <w:gridCol w:w="1960"/>
        <w:gridCol w:w="2020"/>
        <w:gridCol w:w="31"/>
      </w:tblGrid>
      <w:tr w:rsidR="009B5509" w:rsidRPr="009B5509" w14:paraId="0564AEE4" w14:textId="77777777" w:rsidTr="00217F83">
        <w:trPr>
          <w:gridAfter w:val="1"/>
          <w:wAfter w:w="31" w:type="dxa"/>
          <w:trHeight w:hRule="exact" w:val="72"/>
          <w:jc w:val="center"/>
        </w:trPr>
        <w:tc>
          <w:tcPr>
            <w:tcW w:w="9594" w:type="dxa"/>
            <w:gridSpan w:val="4"/>
            <w:shd w:val="pct40" w:color="auto" w:fill="auto"/>
          </w:tcPr>
          <w:p w14:paraId="1944F481" w14:textId="77777777" w:rsidR="006540CF" w:rsidRPr="009B5509" w:rsidRDefault="006540CF" w:rsidP="00F46923">
            <w:pPr>
              <w:jc w:val="center"/>
              <w:rPr>
                <w:rFonts w:ascii="Calibri" w:hAnsi="Calibri" w:cs="Calibri"/>
                <w:b/>
                <w:sz w:val="20"/>
                <w:szCs w:val="20"/>
              </w:rPr>
            </w:pPr>
          </w:p>
        </w:tc>
      </w:tr>
      <w:tr w:rsidR="009B5509" w:rsidRPr="009B5509" w14:paraId="73140E6D" w14:textId="77777777" w:rsidTr="00217F83">
        <w:trPr>
          <w:jc w:val="center"/>
        </w:trPr>
        <w:tc>
          <w:tcPr>
            <w:tcW w:w="3654" w:type="dxa"/>
            <w:shd w:val="clear" w:color="auto" w:fill="auto"/>
            <w:vAlign w:val="center"/>
          </w:tcPr>
          <w:p w14:paraId="029612E2" w14:textId="77777777" w:rsidR="0056512E" w:rsidRPr="009B5509" w:rsidRDefault="0056512E" w:rsidP="00F46923">
            <w:pPr>
              <w:rPr>
                <w:rFonts w:ascii="Calibri" w:hAnsi="Calibri" w:cs="Calibri"/>
                <w:sz w:val="20"/>
                <w:szCs w:val="20"/>
              </w:rPr>
            </w:pPr>
            <w:r w:rsidRPr="009B5509">
              <w:rPr>
                <w:rFonts w:ascii="Calibri" w:hAnsi="Calibri" w:cs="Calibri"/>
                <w:b/>
                <w:sz w:val="20"/>
                <w:szCs w:val="20"/>
              </w:rPr>
              <w:t>Services in Program Areas</w:t>
            </w:r>
          </w:p>
        </w:tc>
        <w:tc>
          <w:tcPr>
            <w:tcW w:w="1960" w:type="dxa"/>
            <w:vAlign w:val="center"/>
          </w:tcPr>
          <w:p w14:paraId="525F2877" w14:textId="77777777" w:rsidR="0056512E" w:rsidRPr="009B5509" w:rsidRDefault="0056512E" w:rsidP="00F46923">
            <w:pPr>
              <w:jc w:val="center"/>
              <w:rPr>
                <w:rFonts w:ascii="Calibri" w:hAnsi="Calibri" w:cs="Calibri"/>
                <w:b/>
                <w:sz w:val="20"/>
                <w:szCs w:val="20"/>
              </w:rPr>
            </w:pPr>
            <w:r w:rsidRPr="009B5509">
              <w:rPr>
                <w:rFonts w:ascii="Calibri" w:hAnsi="Calibri" w:cs="Calibri"/>
                <w:b/>
                <w:sz w:val="20"/>
                <w:szCs w:val="20"/>
              </w:rPr>
              <w:t>MH</w:t>
            </w:r>
          </w:p>
        </w:tc>
        <w:tc>
          <w:tcPr>
            <w:tcW w:w="1960" w:type="dxa"/>
            <w:shd w:val="clear" w:color="auto" w:fill="auto"/>
            <w:vAlign w:val="center"/>
          </w:tcPr>
          <w:p w14:paraId="27A03833" w14:textId="77777777" w:rsidR="0056512E" w:rsidRPr="009B5509" w:rsidRDefault="0056512E" w:rsidP="00F46923">
            <w:pPr>
              <w:jc w:val="center"/>
              <w:rPr>
                <w:rFonts w:ascii="Calibri" w:hAnsi="Calibri" w:cs="Calibri"/>
                <w:b/>
                <w:sz w:val="20"/>
                <w:szCs w:val="20"/>
              </w:rPr>
            </w:pPr>
            <w:r w:rsidRPr="009B5509">
              <w:rPr>
                <w:rFonts w:ascii="Calibri" w:hAnsi="Calibri" w:cs="Calibri"/>
                <w:b/>
                <w:sz w:val="20"/>
                <w:szCs w:val="20"/>
              </w:rPr>
              <w:t>DV</w:t>
            </w:r>
          </w:p>
        </w:tc>
        <w:tc>
          <w:tcPr>
            <w:tcW w:w="2051" w:type="dxa"/>
            <w:gridSpan w:val="2"/>
            <w:vAlign w:val="center"/>
          </w:tcPr>
          <w:p w14:paraId="4898B446" w14:textId="77777777" w:rsidR="0056512E" w:rsidRPr="009B5509" w:rsidRDefault="0056512E" w:rsidP="00F46923">
            <w:pPr>
              <w:jc w:val="center"/>
              <w:rPr>
                <w:rFonts w:ascii="Calibri" w:hAnsi="Calibri" w:cs="Calibri"/>
                <w:b/>
                <w:sz w:val="20"/>
                <w:szCs w:val="20"/>
              </w:rPr>
            </w:pPr>
            <w:r w:rsidRPr="009B5509">
              <w:rPr>
                <w:rFonts w:ascii="Calibri" w:hAnsi="Calibri" w:cs="Calibri"/>
                <w:b/>
                <w:sz w:val="20"/>
                <w:szCs w:val="20"/>
              </w:rPr>
              <w:t>SUD</w:t>
            </w:r>
          </w:p>
        </w:tc>
      </w:tr>
      <w:tr w:rsidR="009B5509" w:rsidRPr="009B5509" w14:paraId="7D3FE6C8" w14:textId="77777777" w:rsidTr="001A64C8">
        <w:trPr>
          <w:jc w:val="center"/>
        </w:trPr>
        <w:tc>
          <w:tcPr>
            <w:tcW w:w="3654" w:type="dxa"/>
            <w:vAlign w:val="center"/>
          </w:tcPr>
          <w:p w14:paraId="32791236" w14:textId="333801C9" w:rsidR="001A64C8" w:rsidRPr="009B5509" w:rsidRDefault="001A64C8" w:rsidP="001A64C8">
            <w:pPr>
              <w:rPr>
                <w:rFonts w:ascii="Calibri" w:hAnsi="Calibri" w:cs="Calibri"/>
                <w:sz w:val="20"/>
                <w:szCs w:val="20"/>
              </w:rPr>
            </w:pPr>
            <w:r w:rsidRPr="009B5509">
              <w:rPr>
                <w:rFonts w:ascii="Calibri" w:hAnsi="Calibri" w:cs="Calibri"/>
                <w:sz w:val="20"/>
                <w:szCs w:val="20"/>
              </w:rPr>
              <w:t>CSB MH or SUD Inpatient Services</w:t>
            </w:r>
          </w:p>
        </w:tc>
        <w:tc>
          <w:tcPr>
            <w:tcW w:w="1960" w:type="dxa"/>
            <w:shd w:val="clear" w:color="auto" w:fill="auto"/>
            <w:vAlign w:val="center"/>
          </w:tcPr>
          <w:p w14:paraId="69BC7349" w14:textId="06A946F4" w:rsidR="001A64C8" w:rsidRPr="009B5509" w:rsidRDefault="001A64C8" w:rsidP="001A64C8">
            <w:pPr>
              <w:jc w:val="right"/>
              <w:rPr>
                <w:rFonts w:ascii="Calibri" w:hAnsi="Calibri" w:cs="Calibri"/>
                <w:sz w:val="20"/>
                <w:szCs w:val="20"/>
              </w:rPr>
            </w:pPr>
            <w:r w:rsidRPr="009B5509">
              <w:rPr>
                <w:rFonts w:ascii="Calibri" w:hAnsi="Calibri" w:cs="Calibri"/>
                <w:sz w:val="20"/>
                <w:szCs w:val="20"/>
              </w:rPr>
              <w:t>86 Beds</w:t>
            </w:r>
          </w:p>
        </w:tc>
        <w:tc>
          <w:tcPr>
            <w:tcW w:w="1960" w:type="dxa"/>
            <w:shd w:val="clear" w:color="auto" w:fill="BFBFBF" w:themeFill="background1" w:themeFillShade="BF"/>
            <w:vAlign w:val="center"/>
          </w:tcPr>
          <w:p w14:paraId="7D9FB745" w14:textId="77777777" w:rsidR="001A64C8" w:rsidRPr="009B5509" w:rsidRDefault="001A64C8" w:rsidP="001A64C8">
            <w:pPr>
              <w:jc w:val="right"/>
              <w:rPr>
                <w:rFonts w:ascii="Calibri" w:hAnsi="Calibri" w:cs="Calibri"/>
                <w:sz w:val="20"/>
                <w:szCs w:val="20"/>
              </w:rPr>
            </w:pPr>
          </w:p>
        </w:tc>
        <w:tc>
          <w:tcPr>
            <w:tcW w:w="2051" w:type="dxa"/>
            <w:gridSpan w:val="2"/>
            <w:shd w:val="clear" w:color="auto" w:fill="auto"/>
            <w:vAlign w:val="center"/>
          </w:tcPr>
          <w:p w14:paraId="7346C6A7" w14:textId="2713A455" w:rsidR="001A64C8" w:rsidRPr="009B5509" w:rsidRDefault="001A64C8" w:rsidP="001A64C8">
            <w:pPr>
              <w:jc w:val="right"/>
              <w:rPr>
                <w:rFonts w:ascii="Calibri" w:hAnsi="Calibri" w:cs="Calibri"/>
                <w:sz w:val="20"/>
                <w:szCs w:val="20"/>
              </w:rPr>
            </w:pPr>
            <w:r w:rsidRPr="009B5509">
              <w:rPr>
                <w:rFonts w:ascii="Calibri" w:hAnsi="Calibri" w:cs="Calibri"/>
                <w:sz w:val="20"/>
                <w:szCs w:val="20"/>
              </w:rPr>
              <w:t xml:space="preserve">1 Bed   </w:t>
            </w:r>
          </w:p>
        </w:tc>
      </w:tr>
      <w:tr w:rsidR="009B5509" w:rsidRPr="009B5509" w14:paraId="36D1305B" w14:textId="77777777" w:rsidTr="001A64C8">
        <w:trPr>
          <w:jc w:val="center"/>
        </w:trPr>
        <w:tc>
          <w:tcPr>
            <w:tcW w:w="3654" w:type="dxa"/>
            <w:vAlign w:val="center"/>
          </w:tcPr>
          <w:p w14:paraId="17857913" w14:textId="3794125E" w:rsidR="001A64C8" w:rsidRPr="009B5509" w:rsidRDefault="001A64C8" w:rsidP="001A64C8">
            <w:pPr>
              <w:rPr>
                <w:rFonts w:ascii="Calibri" w:hAnsi="Calibri" w:cs="Calibri"/>
                <w:sz w:val="20"/>
                <w:szCs w:val="20"/>
              </w:rPr>
            </w:pPr>
            <w:r w:rsidRPr="009B5509">
              <w:rPr>
                <w:rFonts w:ascii="Calibri" w:hAnsi="Calibri" w:cs="Calibri"/>
                <w:sz w:val="20"/>
                <w:szCs w:val="20"/>
              </w:rPr>
              <w:t>CSB SUD Inpatient Medical Detox</w:t>
            </w:r>
          </w:p>
        </w:tc>
        <w:tc>
          <w:tcPr>
            <w:tcW w:w="1960" w:type="dxa"/>
            <w:shd w:val="clear" w:color="auto" w:fill="BFBFBF" w:themeFill="background1" w:themeFillShade="BF"/>
            <w:vAlign w:val="center"/>
          </w:tcPr>
          <w:p w14:paraId="76828F76" w14:textId="77777777" w:rsidR="001A64C8" w:rsidRPr="009B5509" w:rsidRDefault="001A64C8" w:rsidP="001A64C8">
            <w:pPr>
              <w:jc w:val="right"/>
              <w:rPr>
                <w:rFonts w:ascii="Calibri" w:hAnsi="Calibri" w:cs="Calibri"/>
                <w:sz w:val="20"/>
                <w:szCs w:val="20"/>
              </w:rPr>
            </w:pPr>
          </w:p>
        </w:tc>
        <w:tc>
          <w:tcPr>
            <w:tcW w:w="1960" w:type="dxa"/>
            <w:shd w:val="clear" w:color="auto" w:fill="BFBFBF" w:themeFill="background1" w:themeFillShade="BF"/>
            <w:vAlign w:val="center"/>
          </w:tcPr>
          <w:p w14:paraId="09C69F9A" w14:textId="77777777" w:rsidR="001A64C8" w:rsidRPr="009B5509" w:rsidRDefault="001A64C8" w:rsidP="001A64C8">
            <w:pPr>
              <w:jc w:val="right"/>
              <w:rPr>
                <w:rFonts w:ascii="Calibri" w:hAnsi="Calibri" w:cs="Calibri"/>
                <w:sz w:val="20"/>
                <w:szCs w:val="20"/>
              </w:rPr>
            </w:pPr>
          </w:p>
        </w:tc>
        <w:tc>
          <w:tcPr>
            <w:tcW w:w="2051" w:type="dxa"/>
            <w:gridSpan w:val="2"/>
            <w:shd w:val="clear" w:color="auto" w:fill="auto"/>
            <w:vAlign w:val="center"/>
          </w:tcPr>
          <w:p w14:paraId="23E582A1" w14:textId="4691708C" w:rsidR="001A64C8" w:rsidRPr="009B5509" w:rsidRDefault="001A64C8" w:rsidP="001A64C8">
            <w:pPr>
              <w:jc w:val="right"/>
              <w:rPr>
                <w:rFonts w:ascii="Calibri" w:hAnsi="Calibri" w:cs="Calibri"/>
                <w:sz w:val="20"/>
                <w:szCs w:val="20"/>
              </w:rPr>
            </w:pPr>
            <w:r w:rsidRPr="009B5509">
              <w:rPr>
                <w:rFonts w:ascii="Calibri" w:hAnsi="Calibri" w:cs="Calibri"/>
                <w:sz w:val="20"/>
                <w:szCs w:val="20"/>
              </w:rPr>
              <w:t>20 Beds</w:t>
            </w:r>
          </w:p>
        </w:tc>
      </w:tr>
      <w:tr w:rsidR="009B5509" w:rsidRPr="009B5509" w14:paraId="4EF36908" w14:textId="77777777" w:rsidTr="001A64C8">
        <w:trPr>
          <w:jc w:val="center"/>
        </w:trPr>
        <w:tc>
          <w:tcPr>
            <w:tcW w:w="3654" w:type="dxa"/>
            <w:vAlign w:val="center"/>
          </w:tcPr>
          <w:p w14:paraId="29DA2AFB" w14:textId="6F9605BD" w:rsidR="001A64C8" w:rsidRPr="009B5509" w:rsidRDefault="001A64C8" w:rsidP="001A64C8">
            <w:pPr>
              <w:rPr>
                <w:rFonts w:ascii="Calibri" w:hAnsi="Calibri" w:cs="Calibri"/>
                <w:sz w:val="20"/>
                <w:szCs w:val="20"/>
              </w:rPr>
            </w:pPr>
            <w:r w:rsidRPr="009B5509">
              <w:rPr>
                <w:rFonts w:ascii="Calibri" w:hAnsi="Calibri" w:cs="Calibri"/>
                <w:b/>
                <w:sz w:val="20"/>
                <w:szCs w:val="20"/>
              </w:rPr>
              <w:t xml:space="preserve">Total CSB Inpatient Services  </w:t>
            </w:r>
          </w:p>
        </w:tc>
        <w:tc>
          <w:tcPr>
            <w:tcW w:w="1960" w:type="dxa"/>
            <w:shd w:val="clear" w:color="auto" w:fill="auto"/>
            <w:vAlign w:val="center"/>
          </w:tcPr>
          <w:p w14:paraId="31AF9B94" w14:textId="69671241" w:rsidR="001A64C8" w:rsidRPr="009B5509" w:rsidRDefault="001A64C8" w:rsidP="001A64C8">
            <w:pPr>
              <w:jc w:val="right"/>
              <w:rPr>
                <w:rFonts w:ascii="Calibri" w:hAnsi="Calibri" w:cs="Calibri"/>
                <w:sz w:val="20"/>
                <w:szCs w:val="20"/>
              </w:rPr>
            </w:pPr>
            <w:r w:rsidRPr="009B5509">
              <w:rPr>
                <w:rFonts w:ascii="Calibri" w:hAnsi="Calibri" w:cs="Calibri"/>
                <w:b/>
                <w:sz w:val="20"/>
                <w:szCs w:val="20"/>
              </w:rPr>
              <w:t>86 Beds</w:t>
            </w:r>
          </w:p>
        </w:tc>
        <w:tc>
          <w:tcPr>
            <w:tcW w:w="1960" w:type="dxa"/>
            <w:shd w:val="clear" w:color="auto" w:fill="BFBFBF" w:themeFill="background1" w:themeFillShade="BF"/>
            <w:vAlign w:val="center"/>
          </w:tcPr>
          <w:p w14:paraId="38F03FAD" w14:textId="77777777" w:rsidR="001A64C8" w:rsidRPr="009B5509" w:rsidRDefault="001A64C8" w:rsidP="001A64C8">
            <w:pPr>
              <w:jc w:val="right"/>
              <w:rPr>
                <w:rFonts w:ascii="Calibri" w:hAnsi="Calibri" w:cs="Calibri"/>
                <w:sz w:val="20"/>
                <w:szCs w:val="20"/>
              </w:rPr>
            </w:pPr>
          </w:p>
        </w:tc>
        <w:tc>
          <w:tcPr>
            <w:tcW w:w="2051" w:type="dxa"/>
            <w:gridSpan w:val="2"/>
            <w:shd w:val="clear" w:color="auto" w:fill="auto"/>
            <w:vAlign w:val="center"/>
          </w:tcPr>
          <w:p w14:paraId="73C7B18D" w14:textId="3234255A" w:rsidR="001A64C8" w:rsidRPr="009B5509" w:rsidRDefault="001A64C8" w:rsidP="001A64C8">
            <w:pPr>
              <w:jc w:val="right"/>
              <w:rPr>
                <w:rFonts w:ascii="Calibri" w:hAnsi="Calibri" w:cs="Calibri"/>
                <w:sz w:val="20"/>
                <w:szCs w:val="20"/>
              </w:rPr>
            </w:pPr>
            <w:r w:rsidRPr="009B5509">
              <w:rPr>
                <w:rFonts w:ascii="Calibri" w:hAnsi="Calibri" w:cs="Calibri"/>
                <w:b/>
                <w:sz w:val="20"/>
                <w:szCs w:val="20"/>
              </w:rPr>
              <w:t>21 Beds</w:t>
            </w:r>
          </w:p>
        </w:tc>
      </w:tr>
      <w:tr w:rsidR="009B5509" w:rsidRPr="009B5509" w14:paraId="2D3B4EE6" w14:textId="77777777" w:rsidTr="00217F83">
        <w:trPr>
          <w:jc w:val="center"/>
        </w:trPr>
        <w:tc>
          <w:tcPr>
            <w:tcW w:w="3654" w:type="dxa"/>
            <w:vAlign w:val="center"/>
          </w:tcPr>
          <w:p w14:paraId="637A4F2D"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Training Center ICF/ID Services</w:t>
            </w:r>
          </w:p>
        </w:tc>
        <w:tc>
          <w:tcPr>
            <w:tcW w:w="1960" w:type="dxa"/>
            <w:shd w:val="pct25" w:color="auto" w:fill="auto"/>
            <w:vAlign w:val="center"/>
          </w:tcPr>
          <w:p w14:paraId="663C5A9F" w14:textId="77777777" w:rsidR="001A64C8" w:rsidRPr="009B5509" w:rsidRDefault="001A64C8" w:rsidP="001A64C8">
            <w:pPr>
              <w:jc w:val="right"/>
              <w:rPr>
                <w:rFonts w:ascii="Calibri" w:hAnsi="Calibri" w:cs="Calibri"/>
                <w:sz w:val="20"/>
                <w:szCs w:val="20"/>
              </w:rPr>
            </w:pPr>
          </w:p>
        </w:tc>
        <w:tc>
          <w:tcPr>
            <w:tcW w:w="1960" w:type="dxa"/>
            <w:vAlign w:val="center"/>
          </w:tcPr>
          <w:p w14:paraId="346D6778" w14:textId="32116E48" w:rsidR="001A64C8" w:rsidRPr="009B5509" w:rsidRDefault="001A64C8" w:rsidP="001A64C8">
            <w:pPr>
              <w:jc w:val="right"/>
              <w:rPr>
                <w:rFonts w:ascii="Calibri" w:hAnsi="Calibri" w:cs="Calibri"/>
                <w:sz w:val="20"/>
                <w:szCs w:val="20"/>
              </w:rPr>
            </w:pPr>
            <w:r w:rsidRPr="009B5509">
              <w:rPr>
                <w:rFonts w:ascii="Calibri" w:hAnsi="Calibri" w:cs="Calibri"/>
                <w:sz w:val="20"/>
                <w:szCs w:val="20"/>
              </w:rPr>
              <w:t>75 Beds</w:t>
            </w:r>
          </w:p>
        </w:tc>
        <w:tc>
          <w:tcPr>
            <w:tcW w:w="2051" w:type="dxa"/>
            <w:gridSpan w:val="2"/>
            <w:shd w:val="pct25" w:color="auto" w:fill="auto"/>
            <w:vAlign w:val="center"/>
          </w:tcPr>
          <w:p w14:paraId="64273B09" w14:textId="77777777" w:rsidR="001A64C8" w:rsidRPr="009B5509" w:rsidRDefault="001A64C8" w:rsidP="001A64C8">
            <w:pPr>
              <w:jc w:val="right"/>
              <w:rPr>
                <w:rFonts w:ascii="Calibri" w:hAnsi="Calibri" w:cs="Calibri"/>
                <w:sz w:val="20"/>
                <w:szCs w:val="20"/>
              </w:rPr>
            </w:pPr>
          </w:p>
        </w:tc>
      </w:tr>
      <w:tr w:rsidR="009B5509" w:rsidRPr="009B5509" w14:paraId="21A6047B" w14:textId="77777777" w:rsidTr="00217F83">
        <w:trPr>
          <w:jc w:val="center"/>
        </w:trPr>
        <w:tc>
          <w:tcPr>
            <w:tcW w:w="3654" w:type="dxa"/>
            <w:vAlign w:val="center"/>
          </w:tcPr>
          <w:p w14:paraId="24F43A0C" w14:textId="03F7B842" w:rsidR="001A64C8" w:rsidRPr="009B5509" w:rsidRDefault="001A64C8" w:rsidP="001A64C8">
            <w:pPr>
              <w:rPr>
                <w:rFonts w:ascii="Calibri" w:hAnsi="Calibri" w:cs="Calibri"/>
                <w:sz w:val="20"/>
                <w:szCs w:val="20"/>
              </w:rPr>
            </w:pPr>
            <w:r w:rsidRPr="009B5509">
              <w:rPr>
                <w:rFonts w:ascii="Calibri" w:hAnsi="Calibri" w:cs="Calibri"/>
                <w:sz w:val="20"/>
                <w:szCs w:val="20"/>
              </w:rPr>
              <w:t xml:space="preserve">State Hospital </w:t>
            </w:r>
            <w:r w:rsidR="00E45EF9" w:rsidRPr="009B5509">
              <w:rPr>
                <w:rFonts w:ascii="Calibri" w:hAnsi="Calibri" w:cs="Calibri"/>
                <w:sz w:val="20"/>
                <w:szCs w:val="20"/>
              </w:rPr>
              <w:t>Adult</w:t>
            </w:r>
            <w:r w:rsidRPr="009B5509">
              <w:rPr>
                <w:rFonts w:ascii="Calibri" w:hAnsi="Calibri" w:cs="Calibri"/>
                <w:sz w:val="20"/>
                <w:szCs w:val="20"/>
              </w:rPr>
              <w:t xml:space="preserve"> </w:t>
            </w:r>
          </w:p>
        </w:tc>
        <w:tc>
          <w:tcPr>
            <w:tcW w:w="1960" w:type="dxa"/>
            <w:shd w:val="clear" w:color="auto" w:fill="auto"/>
            <w:vAlign w:val="center"/>
          </w:tcPr>
          <w:p w14:paraId="4863B666" w14:textId="7C71EA34" w:rsidR="001A64C8" w:rsidRPr="009B5509" w:rsidRDefault="00E45EF9" w:rsidP="001A64C8">
            <w:pPr>
              <w:jc w:val="right"/>
              <w:rPr>
                <w:rFonts w:ascii="Calibri" w:hAnsi="Calibri" w:cs="Calibri"/>
                <w:sz w:val="20"/>
                <w:szCs w:val="20"/>
              </w:rPr>
            </w:pPr>
            <w:r w:rsidRPr="009B5509">
              <w:rPr>
                <w:rFonts w:ascii="Calibri" w:hAnsi="Calibri" w:cs="Calibri"/>
                <w:sz w:val="20"/>
                <w:szCs w:val="20"/>
              </w:rPr>
              <w:t>1,047</w:t>
            </w:r>
            <w:r w:rsidR="001A64C8" w:rsidRPr="009B5509">
              <w:rPr>
                <w:rFonts w:ascii="Calibri" w:hAnsi="Calibri" w:cs="Calibri"/>
                <w:sz w:val="20"/>
                <w:szCs w:val="20"/>
              </w:rPr>
              <w:t xml:space="preserve"> Beds</w:t>
            </w:r>
          </w:p>
        </w:tc>
        <w:tc>
          <w:tcPr>
            <w:tcW w:w="1960" w:type="dxa"/>
            <w:vMerge w:val="restart"/>
            <w:shd w:val="pct25" w:color="auto" w:fill="auto"/>
            <w:vAlign w:val="center"/>
          </w:tcPr>
          <w:p w14:paraId="3459514E" w14:textId="77777777" w:rsidR="001A64C8" w:rsidRPr="009B5509" w:rsidRDefault="001A64C8" w:rsidP="001A64C8">
            <w:pPr>
              <w:jc w:val="right"/>
              <w:rPr>
                <w:rFonts w:ascii="Calibri" w:hAnsi="Calibri" w:cs="Calibri"/>
                <w:sz w:val="20"/>
                <w:szCs w:val="20"/>
              </w:rPr>
            </w:pPr>
          </w:p>
        </w:tc>
        <w:tc>
          <w:tcPr>
            <w:tcW w:w="2051" w:type="dxa"/>
            <w:gridSpan w:val="2"/>
            <w:vMerge w:val="restart"/>
            <w:shd w:val="pct25" w:color="auto" w:fill="auto"/>
            <w:vAlign w:val="center"/>
          </w:tcPr>
          <w:p w14:paraId="6190E68A" w14:textId="77777777" w:rsidR="001A64C8" w:rsidRPr="009B5509" w:rsidRDefault="001A64C8" w:rsidP="001A64C8">
            <w:pPr>
              <w:jc w:val="right"/>
              <w:rPr>
                <w:rFonts w:ascii="Calibri" w:hAnsi="Calibri" w:cs="Calibri"/>
                <w:sz w:val="20"/>
                <w:szCs w:val="20"/>
              </w:rPr>
            </w:pPr>
          </w:p>
        </w:tc>
      </w:tr>
      <w:tr w:rsidR="009B5509" w:rsidRPr="009B5509" w14:paraId="5F2638CF" w14:textId="77777777" w:rsidTr="00217F83">
        <w:trPr>
          <w:trHeight w:val="58"/>
          <w:jc w:val="center"/>
        </w:trPr>
        <w:tc>
          <w:tcPr>
            <w:tcW w:w="3654" w:type="dxa"/>
            <w:vAlign w:val="center"/>
          </w:tcPr>
          <w:p w14:paraId="7906AA76" w14:textId="78C46FBF" w:rsidR="001A64C8" w:rsidRPr="009B5509" w:rsidRDefault="001A64C8" w:rsidP="001A64C8">
            <w:pPr>
              <w:rPr>
                <w:rFonts w:ascii="Calibri" w:hAnsi="Calibri" w:cs="Calibri"/>
                <w:sz w:val="20"/>
                <w:szCs w:val="20"/>
              </w:rPr>
            </w:pPr>
            <w:r w:rsidRPr="009B5509">
              <w:rPr>
                <w:rFonts w:ascii="Calibri" w:hAnsi="Calibri" w:cs="Calibri"/>
                <w:sz w:val="20"/>
                <w:szCs w:val="20"/>
              </w:rPr>
              <w:t xml:space="preserve">State Hospital </w:t>
            </w:r>
            <w:r w:rsidR="00E45EF9" w:rsidRPr="009B5509">
              <w:rPr>
                <w:rFonts w:ascii="Calibri" w:hAnsi="Calibri" w:cs="Calibri"/>
                <w:sz w:val="20"/>
                <w:szCs w:val="20"/>
              </w:rPr>
              <w:t>Children</w:t>
            </w:r>
          </w:p>
        </w:tc>
        <w:tc>
          <w:tcPr>
            <w:tcW w:w="1960" w:type="dxa"/>
            <w:vAlign w:val="center"/>
          </w:tcPr>
          <w:p w14:paraId="0FC67186" w14:textId="402AF08F" w:rsidR="001A64C8" w:rsidRPr="009B5509" w:rsidRDefault="00E45EF9" w:rsidP="001A64C8">
            <w:pPr>
              <w:jc w:val="right"/>
              <w:rPr>
                <w:rFonts w:ascii="Calibri" w:hAnsi="Calibri" w:cs="Calibri"/>
                <w:sz w:val="20"/>
                <w:szCs w:val="20"/>
              </w:rPr>
            </w:pPr>
            <w:r w:rsidRPr="009B5509">
              <w:rPr>
                <w:rFonts w:ascii="Calibri" w:hAnsi="Calibri" w:cs="Calibri"/>
                <w:sz w:val="20"/>
                <w:szCs w:val="20"/>
              </w:rPr>
              <w:t>24</w:t>
            </w:r>
            <w:r w:rsidR="001A64C8" w:rsidRPr="009B5509">
              <w:rPr>
                <w:rFonts w:ascii="Calibri" w:hAnsi="Calibri" w:cs="Calibri"/>
                <w:sz w:val="20"/>
                <w:szCs w:val="20"/>
              </w:rPr>
              <w:t xml:space="preserve"> Beds</w:t>
            </w:r>
          </w:p>
        </w:tc>
        <w:tc>
          <w:tcPr>
            <w:tcW w:w="1960" w:type="dxa"/>
            <w:vMerge/>
            <w:shd w:val="pct25" w:color="auto" w:fill="auto"/>
            <w:vAlign w:val="center"/>
          </w:tcPr>
          <w:p w14:paraId="4AFDD082" w14:textId="77777777" w:rsidR="001A64C8" w:rsidRPr="009B5509" w:rsidRDefault="001A64C8" w:rsidP="001A64C8">
            <w:pPr>
              <w:jc w:val="right"/>
              <w:rPr>
                <w:rFonts w:ascii="Calibri" w:hAnsi="Calibri" w:cs="Calibri"/>
                <w:sz w:val="20"/>
                <w:szCs w:val="20"/>
              </w:rPr>
            </w:pPr>
          </w:p>
        </w:tc>
        <w:tc>
          <w:tcPr>
            <w:tcW w:w="2051" w:type="dxa"/>
            <w:gridSpan w:val="2"/>
            <w:vMerge/>
            <w:shd w:val="pct25" w:color="auto" w:fill="auto"/>
            <w:vAlign w:val="center"/>
          </w:tcPr>
          <w:p w14:paraId="0634F93A" w14:textId="77777777" w:rsidR="001A64C8" w:rsidRPr="009B5509" w:rsidRDefault="001A64C8" w:rsidP="001A64C8">
            <w:pPr>
              <w:jc w:val="right"/>
              <w:rPr>
                <w:rFonts w:ascii="Calibri" w:hAnsi="Calibri" w:cs="Calibri"/>
                <w:sz w:val="20"/>
                <w:szCs w:val="20"/>
              </w:rPr>
            </w:pPr>
          </w:p>
        </w:tc>
      </w:tr>
      <w:tr w:rsidR="009B5509" w:rsidRPr="009B5509" w14:paraId="46A48A5A" w14:textId="77777777" w:rsidTr="00681601">
        <w:trPr>
          <w:jc w:val="center"/>
        </w:trPr>
        <w:tc>
          <w:tcPr>
            <w:tcW w:w="3654" w:type="dxa"/>
            <w:vAlign w:val="center"/>
          </w:tcPr>
          <w:p w14:paraId="396521DD" w14:textId="05E06A31" w:rsidR="001A64C8" w:rsidRPr="009B5509" w:rsidRDefault="001A64C8" w:rsidP="001A64C8">
            <w:pPr>
              <w:rPr>
                <w:rFonts w:ascii="Calibri" w:hAnsi="Calibri" w:cs="Calibri"/>
                <w:sz w:val="20"/>
                <w:szCs w:val="20"/>
              </w:rPr>
            </w:pPr>
            <w:r w:rsidRPr="009B5509">
              <w:rPr>
                <w:rFonts w:ascii="Calibri" w:hAnsi="Calibri" w:cs="Calibri"/>
                <w:sz w:val="20"/>
                <w:szCs w:val="20"/>
              </w:rPr>
              <w:t>HDMC</w:t>
            </w:r>
            <w:r w:rsidRPr="009B5509">
              <w:rPr>
                <w:rFonts w:ascii="Calibri" w:hAnsi="Calibri" w:cs="Calibri"/>
                <w:b/>
                <w:sz w:val="20"/>
                <w:szCs w:val="20"/>
                <w:vertAlign w:val="superscript"/>
              </w:rPr>
              <w:t>2</w:t>
            </w:r>
            <w:r w:rsidRPr="009B5509">
              <w:rPr>
                <w:rFonts w:ascii="Calibri" w:hAnsi="Calibri" w:cs="Calibri"/>
                <w:sz w:val="20"/>
                <w:szCs w:val="20"/>
                <w:vertAlign w:val="superscript"/>
              </w:rPr>
              <w:t xml:space="preserve"> </w:t>
            </w:r>
            <w:r w:rsidRPr="009B5509">
              <w:rPr>
                <w:rFonts w:ascii="Calibri" w:hAnsi="Calibri" w:cs="Calibri"/>
                <w:sz w:val="20"/>
                <w:szCs w:val="20"/>
              </w:rPr>
              <w:t xml:space="preserve"> </w:t>
            </w:r>
          </w:p>
        </w:tc>
        <w:tc>
          <w:tcPr>
            <w:tcW w:w="1960" w:type="dxa"/>
            <w:shd w:val="clear" w:color="auto" w:fill="auto"/>
            <w:vAlign w:val="center"/>
          </w:tcPr>
          <w:p w14:paraId="77D0E875" w14:textId="272FC09A" w:rsidR="001A64C8" w:rsidRPr="009B5509" w:rsidRDefault="00E45EF9" w:rsidP="001A64C8">
            <w:pPr>
              <w:jc w:val="right"/>
              <w:rPr>
                <w:rFonts w:ascii="Calibri" w:hAnsi="Calibri" w:cs="Calibri"/>
                <w:sz w:val="20"/>
                <w:szCs w:val="20"/>
              </w:rPr>
            </w:pPr>
            <w:r w:rsidRPr="009B5509">
              <w:rPr>
                <w:rFonts w:ascii="Calibri" w:hAnsi="Calibri" w:cs="Calibri"/>
                <w:sz w:val="20"/>
                <w:szCs w:val="20"/>
              </w:rPr>
              <w:t>50</w:t>
            </w:r>
            <w:r w:rsidR="001A64C8" w:rsidRPr="009B5509">
              <w:rPr>
                <w:rFonts w:ascii="Calibri" w:hAnsi="Calibri" w:cs="Calibri"/>
                <w:sz w:val="20"/>
                <w:szCs w:val="20"/>
              </w:rPr>
              <w:t xml:space="preserve"> Beds</w:t>
            </w:r>
          </w:p>
        </w:tc>
        <w:tc>
          <w:tcPr>
            <w:tcW w:w="1960" w:type="dxa"/>
            <w:vMerge/>
            <w:shd w:val="pct25" w:color="auto" w:fill="auto"/>
            <w:vAlign w:val="center"/>
          </w:tcPr>
          <w:p w14:paraId="2472D428" w14:textId="77777777" w:rsidR="001A64C8" w:rsidRPr="009B5509" w:rsidRDefault="001A64C8" w:rsidP="001A64C8">
            <w:pPr>
              <w:jc w:val="right"/>
              <w:rPr>
                <w:rFonts w:ascii="Calibri" w:hAnsi="Calibri" w:cs="Calibri"/>
                <w:sz w:val="20"/>
                <w:szCs w:val="20"/>
              </w:rPr>
            </w:pPr>
          </w:p>
        </w:tc>
        <w:tc>
          <w:tcPr>
            <w:tcW w:w="2051" w:type="dxa"/>
            <w:gridSpan w:val="2"/>
            <w:vMerge/>
            <w:shd w:val="pct25" w:color="auto" w:fill="auto"/>
            <w:vAlign w:val="center"/>
          </w:tcPr>
          <w:p w14:paraId="6441BB8D" w14:textId="77777777" w:rsidR="001A64C8" w:rsidRPr="009B5509" w:rsidRDefault="001A64C8" w:rsidP="001A64C8">
            <w:pPr>
              <w:jc w:val="right"/>
              <w:rPr>
                <w:rFonts w:ascii="Calibri" w:hAnsi="Calibri" w:cs="Calibri"/>
                <w:sz w:val="20"/>
                <w:szCs w:val="20"/>
              </w:rPr>
            </w:pPr>
          </w:p>
        </w:tc>
      </w:tr>
      <w:tr w:rsidR="009B5509" w:rsidRPr="009B5509" w14:paraId="7C7C58B8" w14:textId="77777777" w:rsidTr="00217F83">
        <w:trPr>
          <w:jc w:val="center"/>
        </w:trPr>
        <w:tc>
          <w:tcPr>
            <w:tcW w:w="3654" w:type="dxa"/>
            <w:vAlign w:val="center"/>
          </w:tcPr>
          <w:p w14:paraId="315C88A5"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VCBR</w:t>
            </w:r>
            <w:r w:rsidRPr="009B5509">
              <w:rPr>
                <w:rFonts w:ascii="Calibri" w:hAnsi="Calibri" w:cs="Calibri"/>
                <w:b/>
                <w:sz w:val="20"/>
                <w:szCs w:val="20"/>
                <w:vertAlign w:val="superscript"/>
              </w:rPr>
              <w:t>3</w:t>
            </w:r>
          </w:p>
        </w:tc>
        <w:tc>
          <w:tcPr>
            <w:tcW w:w="1960" w:type="dxa"/>
            <w:shd w:val="clear" w:color="auto" w:fill="auto"/>
            <w:vAlign w:val="center"/>
          </w:tcPr>
          <w:p w14:paraId="45F2F5A3" w14:textId="31389CE7" w:rsidR="001A64C8" w:rsidRPr="009B5509" w:rsidRDefault="00E45EF9" w:rsidP="001A64C8">
            <w:pPr>
              <w:jc w:val="right"/>
              <w:rPr>
                <w:rFonts w:ascii="Calibri" w:hAnsi="Calibri" w:cs="Calibri"/>
                <w:sz w:val="20"/>
                <w:szCs w:val="20"/>
              </w:rPr>
            </w:pPr>
            <w:r w:rsidRPr="009B5509">
              <w:rPr>
                <w:rFonts w:ascii="Calibri" w:hAnsi="Calibri" w:cs="Calibri"/>
                <w:sz w:val="20"/>
                <w:szCs w:val="20"/>
              </w:rPr>
              <w:t>484</w:t>
            </w:r>
            <w:r w:rsidR="001A64C8" w:rsidRPr="009B5509">
              <w:rPr>
                <w:rFonts w:ascii="Calibri" w:hAnsi="Calibri" w:cs="Calibri"/>
                <w:sz w:val="20"/>
                <w:szCs w:val="20"/>
              </w:rPr>
              <w:t xml:space="preserve"> Beds</w:t>
            </w:r>
          </w:p>
        </w:tc>
        <w:tc>
          <w:tcPr>
            <w:tcW w:w="1960" w:type="dxa"/>
            <w:vMerge/>
            <w:shd w:val="pct25" w:color="auto" w:fill="auto"/>
            <w:vAlign w:val="center"/>
          </w:tcPr>
          <w:p w14:paraId="14C643F0" w14:textId="77777777" w:rsidR="001A64C8" w:rsidRPr="009B5509" w:rsidRDefault="001A64C8" w:rsidP="001A64C8">
            <w:pPr>
              <w:jc w:val="right"/>
              <w:rPr>
                <w:rFonts w:ascii="Calibri" w:hAnsi="Calibri" w:cs="Calibri"/>
                <w:sz w:val="20"/>
                <w:szCs w:val="20"/>
              </w:rPr>
            </w:pPr>
          </w:p>
        </w:tc>
        <w:tc>
          <w:tcPr>
            <w:tcW w:w="2051" w:type="dxa"/>
            <w:gridSpan w:val="2"/>
            <w:vMerge/>
            <w:shd w:val="pct25" w:color="auto" w:fill="auto"/>
            <w:vAlign w:val="center"/>
          </w:tcPr>
          <w:p w14:paraId="1528F9E0" w14:textId="77777777" w:rsidR="001A64C8" w:rsidRPr="009B5509" w:rsidRDefault="001A64C8" w:rsidP="001A64C8">
            <w:pPr>
              <w:jc w:val="right"/>
              <w:rPr>
                <w:rFonts w:ascii="Calibri" w:hAnsi="Calibri" w:cs="Calibri"/>
                <w:sz w:val="20"/>
                <w:szCs w:val="20"/>
              </w:rPr>
            </w:pPr>
          </w:p>
        </w:tc>
      </w:tr>
      <w:tr w:rsidR="009B5509" w:rsidRPr="009B5509" w14:paraId="68F8364B" w14:textId="77777777" w:rsidTr="00217F83">
        <w:trPr>
          <w:jc w:val="center"/>
        </w:trPr>
        <w:tc>
          <w:tcPr>
            <w:tcW w:w="3654" w:type="dxa"/>
            <w:vAlign w:val="center"/>
          </w:tcPr>
          <w:p w14:paraId="64EA6D21" w14:textId="49CFD2AC" w:rsidR="001A64C8" w:rsidRPr="009B5509" w:rsidRDefault="001A64C8" w:rsidP="001A64C8">
            <w:pPr>
              <w:rPr>
                <w:rFonts w:ascii="Calibri" w:hAnsi="Calibri" w:cs="Calibri"/>
                <w:b/>
                <w:sz w:val="20"/>
                <w:szCs w:val="20"/>
              </w:rPr>
            </w:pPr>
            <w:r w:rsidRPr="009B5509">
              <w:rPr>
                <w:rFonts w:ascii="Calibri" w:hAnsi="Calibri" w:cs="Calibri"/>
                <w:b/>
                <w:sz w:val="20"/>
                <w:szCs w:val="20"/>
              </w:rPr>
              <w:t>Total State Facility Inpatient Services</w:t>
            </w:r>
            <w:r w:rsidRPr="009B5509">
              <w:rPr>
                <w:rFonts w:ascii="Calibri" w:hAnsi="Calibri" w:cs="Calibri"/>
                <w:b/>
                <w:sz w:val="20"/>
                <w:szCs w:val="20"/>
                <w:vertAlign w:val="superscript"/>
              </w:rPr>
              <w:t>1</w:t>
            </w:r>
          </w:p>
        </w:tc>
        <w:tc>
          <w:tcPr>
            <w:tcW w:w="1960" w:type="dxa"/>
            <w:vAlign w:val="center"/>
          </w:tcPr>
          <w:p w14:paraId="10697F21" w14:textId="36399D0D" w:rsidR="001A64C8" w:rsidRPr="009B5509" w:rsidRDefault="00E45EF9" w:rsidP="001A64C8">
            <w:pPr>
              <w:jc w:val="right"/>
              <w:rPr>
                <w:rFonts w:ascii="Calibri" w:hAnsi="Calibri" w:cs="Calibri"/>
                <w:b/>
                <w:sz w:val="20"/>
                <w:szCs w:val="20"/>
              </w:rPr>
            </w:pPr>
            <w:r w:rsidRPr="009B5509">
              <w:rPr>
                <w:rFonts w:ascii="Calibri" w:hAnsi="Calibri" w:cs="Calibri"/>
                <w:b/>
                <w:sz w:val="20"/>
                <w:szCs w:val="20"/>
              </w:rPr>
              <w:t>1,605 Beds</w:t>
            </w:r>
          </w:p>
        </w:tc>
        <w:tc>
          <w:tcPr>
            <w:tcW w:w="1960" w:type="dxa"/>
            <w:vAlign w:val="center"/>
          </w:tcPr>
          <w:p w14:paraId="3A3EDD4B" w14:textId="7E114C77" w:rsidR="001A64C8" w:rsidRPr="009B5509" w:rsidRDefault="00E45EF9" w:rsidP="001A64C8">
            <w:pPr>
              <w:jc w:val="right"/>
              <w:rPr>
                <w:rFonts w:ascii="Calibri" w:hAnsi="Calibri" w:cs="Calibri"/>
                <w:b/>
                <w:sz w:val="20"/>
                <w:szCs w:val="20"/>
              </w:rPr>
            </w:pPr>
            <w:r w:rsidRPr="009B5509">
              <w:rPr>
                <w:rFonts w:ascii="Calibri" w:hAnsi="Calibri" w:cs="Calibri"/>
                <w:b/>
                <w:sz w:val="20"/>
                <w:szCs w:val="20"/>
              </w:rPr>
              <w:t>75 Beds</w:t>
            </w:r>
          </w:p>
        </w:tc>
        <w:tc>
          <w:tcPr>
            <w:tcW w:w="2051" w:type="dxa"/>
            <w:gridSpan w:val="2"/>
            <w:shd w:val="pct25" w:color="auto" w:fill="auto"/>
            <w:vAlign w:val="center"/>
          </w:tcPr>
          <w:p w14:paraId="18BC6AF4" w14:textId="77777777" w:rsidR="001A64C8" w:rsidRPr="009B5509" w:rsidRDefault="001A64C8" w:rsidP="001A64C8">
            <w:pPr>
              <w:jc w:val="right"/>
              <w:rPr>
                <w:rFonts w:ascii="Calibri" w:hAnsi="Calibri" w:cs="Calibri"/>
                <w:b/>
                <w:sz w:val="20"/>
                <w:szCs w:val="20"/>
              </w:rPr>
            </w:pPr>
          </w:p>
        </w:tc>
      </w:tr>
      <w:tr w:rsidR="009B5509" w:rsidRPr="009B5509" w14:paraId="3A20604D" w14:textId="77777777" w:rsidTr="00217F83">
        <w:trPr>
          <w:jc w:val="center"/>
        </w:trPr>
        <w:tc>
          <w:tcPr>
            <w:tcW w:w="3654" w:type="dxa"/>
            <w:vAlign w:val="center"/>
          </w:tcPr>
          <w:p w14:paraId="1547B96F"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Outpatient Services</w:t>
            </w:r>
          </w:p>
        </w:tc>
        <w:tc>
          <w:tcPr>
            <w:tcW w:w="1960" w:type="dxa"/>
          </w:tcPr>
          <w:p w14:paraId="7BA19729" w14:textId="71A51604"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626 FTEs</w:t>
            </w:r>
          </w:p>
        </w:tc>
        <w:tc>
          <w:tcPr>
            <w:tcW w:w="1960" w:type="dxa"/>
          </w:tcPr>
          <w:p w14:paraId="0130F6CF" w14:textId="23FDD400"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1 FTEs</w:t>
            </w:r>
          </w:p>
        </w:tc>
        <w:tc>
          <w:tcPr>
            <w:tcW w:w="2051" w:type="dxa"/>
            <w:gridSpan w:val="2"/>
          </w:tcPr>
          <w:p w14:paraId="4E7920DD" w14:textId="32164613"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281 FTEs</w:t>
            </w:r>
          </w:p>
        </w:tc>
      </w:tr>
      <w:tr w:rsidR="009B5509" w:rsidRPr="009B5509" w14:paraId="4939EB5D" w14:textId="77777777" w:rsidTr="00217F83">
        <w:trPr>
          <w:jc w:val="center"/>
        </w:trPr>
        <w:tc>
          <w:tcPr>
            <w:tcW w:w="3654" w:type="dxa"/>
            <w:vAlign w:val="center"/>
          </w:tcPr>
          <w:p w14:paraId="071B3CC6"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Medical Services</w:t>
            </w:r>
          </w:p>
        </w:tc>
        <w:tc>
          <w:tcPr>
            <w:tcW w:w="1960" w:type="dxa"/>
          </w:tcPr>
          <w:p w14:paraId="3AF72064" w14:textId="70CCACC4"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383 FTEs</w:t>
            </w:r>
          </w:p>
        </w:tc>
        <w:tc>
          <w:tcPr>
            <w:tcW w:w="1960" w:type="dxa"/>
          </w:tcPr>
          <w:p w14:paraId="35A27977" w14:textId="24FB168C"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2 FTEs</w:t>
            </w:r>
          </w:p>
        </w:tc>
        <w:tc>
          <w:tcPr>
            <w:tcW w:w="2051" w:type="dxa"/>
            <w:gridSpan w:val="2"/>
          </w:tcPr>
          <w:p w14:paraId="351A9B9B" w14:textId="41298514"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6 FTEs</w:t>
            </w:r>
          </w:p>
        </w:tc>
      </w:tr>
      <w:tr w:rsidR="009B5509" w:rsidRPr="009B5509" w14:paraId="61EF518C" w14:textId="77777777" w:rsidTr="00217F83">
        <w:trPr>
          <w:jc w:val="center"/>
        </w:trPr>
        <w:tc>
          <w:tcPr>
            <w:tcW w:w="3654" w:type="dxa"/>
            <w:vAlign w:val="center"/>
          </w:tcPr>
          <w:p w14:paraId="4E07190A"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Intensive Outpatient Services</w:t>
            </w:r>
          </w:p>
        </w:tc>
        <w:tc>
          <w:tcPr>
            <w:tcW w:w="1960" w:type="dxa"/>
            <w:vMerge w:val="restart"/>
            <w:shd w:val="pct25" w:color="auto" w:fill="auto"/>
          </w:tcPr>
          <w:p w14:paraId="01586EB3" w14:textId="77777777" w:rsidR="001A64C8" w:rsidRPr="009B5509" w:rsidRDefault="001A64C8" w:rsidP="001A64C8">
            <w:pPr>
              <w:ind w:hanging="720"/>
              <w:jc w:val="right"/>
              <w:rPr>
                <w:rFonts w:ascii="Calibri" w:hAnsi="Calibri" w:cs="Calibri"/>
                <w:sz w:val="20"/>
                <w:szCs w:val="20"/>
              </w:rPr>
            </w:pPr>
          </w:p>
          <w:p w14:paraId="389B893E" w14:textId="77777777" w:rsidR="001A64C8" w:rsidRPr="009B5509" w:rsidRDefault="001A64C8" w:rsidP="001A64C8">
            <w:pPr>
              <w:ind w:hanging="720"/>
              <w:jc w:val="right"/>
              <w:rPr>
                <w:rFonts w:ascii="Calibri" w:hAnsi="Calibri" w:cs="Calibri"/>
                <w:sz w:val="20"/>
                <w:szCs w:val="20"/>
              </w:rPr>
            </w:pPr>
          </w:p>
        </w:tc>
        <w:tc>
          <w:tcPr>
            <w:tcW w:w="1960" w:type="dxa"/>
            <w:vMerge w:val="restart"/>
            <w:shd w:val="pct25" w:color="auto" w:fill="auto"/>
          </w:tcPr>
          <w:p w14:paraId="41ECDC8D" w14:textId="77777777" w:rsidR="001A64C8" w:rsidRPr="009B5509" w:rsidRDefault="001A64C8" w:rsidP="001A64C8">
            <w:pPr>
              <w:ind w:hanging="720"/>
              <w:jc w:val="right"/>
              <w:rPr>
                <w:rFonts w:ascii="Calibri" w:hAnsi="Calibri" w:cs="Calibri"/>
                <w:sz w:val="20"/>
                <w:szCs w:val="20"/>
              </w:rPr>
            </w:pPr>
          </w:p>
          <w:p w14:paraId="36D5E809" w14:textId="77777777" w:rsidR="001A64C8" w:rsidRPr="009B5509" w:rsidRDefault="001A64C8" w:rsidP="001A64C8">
            <w:pPr>
              <w:ind w:hanging="720"/>
              <w:jc w:val="right"/>
              <w:rPr>
                <w:rFonts w:ascii="Calibri" w:hAnsi="Calibri" w:cs="Calibri"/>
                <w:sz w:val="20"/>
                <w:szCs w:val="20"/>
              </w:rPr>
            </w:pPr>
          </w:p>
        </w:tc>
        <w:tc>
          <w:tcPr>
            <w:tcW w:w="2051" w:type="dxa"/>
            <w:gridSpan w:val="2"/>
          </w:tcPr>
          <w:p w14:paraId="473380CE" w14:textId="56DB7BFD"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101 FTEs</w:t>
            </w:r>
          </w:p>
        </w:tc>
      </w:tr>
      <w:tr w:rsidR="009B5509" w:rsidRPr="009B5509" w14:paraId="1352D5E3" w14:textId="77777777" w:rsidTr="00217F83">
        <w:trPr>
          <w:jc w:val="center"/>
        </w:trPr>
        <w:tc>
          <w:tcPr>
            <w:tcW w:w="3654" w:type="dxa"/>
            <w:vAlign w:val="center"/>
          </w:tcPr>
          <w:p w14:paraId="3518528F"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Medication Assisted Treatment</w:t>
            </w:r>
          </w:p>
        </w:tc>
        <w:tc>
          <w:tcPr>
            <w:tcW w:w="1960" w:type="dxa"/>
            <w:vMerge/>
            <w:shd w:val="pct25" w:color="auto" w:fill="auto"/>
          </w:tcPr>
          <w:p w14:paraId="0124049B" w14:textId="77777777" w:rsidR="001A64C8" w:rsidRPr="009B5509" w:rsidRDefault="001A64C8" w:rsidP="001A64C8">
            <w:pPr>
              <w:jc w:val="right"/>
              <w:rPr>
                <w:rFonts w:ascii="Calibri" w:hAnsi="Calibri" w:cs="Calibri"/>
                <w:sz w:val="20"/>
                <w:szCs w:val="20"/>
              </w:rPr>
            </w:pPr>
          </w:p>
        </w:tc>
        <w:tc>
          <w:tcPr>
            <w:tcW w:w="1960" w:type="dxa"/>
            <w:vMerge/>
            <w:shd w:val="pct25" w:color="auto" w:fill="auto"/>
          </w:tcPr>
          <w:p w14:paraId="5DD15AD1" w14:textId="77777777" w:rsidR="001A64C8" w:rsidRPr="009B5509" w:rsidRDefault="001A64C8" w:rsidP="001A64C8">
            <w:pPr>
              <w:jc w:val="right"/>
              <w:rPr>
                <w:rFonts w:ascii="Calibri" w:hAnsi="Calibri" w:cs="Calibri"/>
                <w:sz w:val="20"/>
                <w:szCs w:val="20"/>
              </w:rPr>
            </w:pPr>
          </w:p>
        </w:tc>
        <w:tc>
          <w:tcPr>
            <w:tcW w:w="2051" w:type="dxa"/>
            <w:gridSpan w:val="2"/>
          </w:tcPr>
          <w:p w14:paraId="4395D9B8" w14:textId="6E013077" w:rsidR="001A64C8" w:rsidRPr="009B5509" w:rsidRDefault="001A64C8" w:rsidP="001A64C8">
            <w:pPr>
              <w:jc w:val="right"/>
              <w:rPr>
                <w:rFonts w:ascii="Calibri" w:hAnsi="Calibri" w:cs="Calibri"/>
                <w:sz w:val="20"/>
                <w:szCs w:val="20"/>
              </w:rPr>
            </w:pPr>
            <w:r w:rsidRPr="009B5509">
              <w:rPr>
                <w:rFonts w:ascii="Calibri" w:hAnsi="Calibri" w:cs="Calibri"/>
                <w:sz w:val="20"/>
                <w:szCs w:val="20"/>
              </w:rPr>
              <w:t>113 FTEs</w:t>
            </w:r>
          </w:p>
        </w:tc>
      </w:tr>
      <w:tr w:rsidR="009B5509" w:rsidRPr="009B5509" w14:paraId="76EB1D3F" w14:textId="77777777" w:rsidTr="00217F83">
        <w:trPr>
          <w:jc w:val="center"/>
        </w:trPr>
        <w:tc>
          <w:tcPr>
            <w:tcW w:w="3654" w:type="dxa"/>
            <w:vAlign w:val="center"/>
          </w:tcPr>
          <w:p w14:paraId="6BE40EBF"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Assertive Community Treatment</w:t>
            </w:r>
          </w:p>
        </w:tc>
        <w:tc>
          <w:tcPr>
            <w:tcW w:w="1960" w:type="dxa"/>
          </w:tcPr>
          <w:p w14:paraId="2716B8D0" w14:textId="1384FC2B"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317 FTEs</w:t>
            </w:r>
          </w:p>
        </w:tc>
        <w:tc>
          <w:tcPr>
            <w:tcW w:w="1960" w:type="dxa"/>
            <w:vMerge/>
            <w:shd w:val="pct25" w:color="auto" w:fill="auto"/>
          </w:tcPr>
          <w:p w14:paraId="2DBCCE1E" w14:textId="77777777" w:rsidR="001A64C8" w:rsidRPr="009B5509" w:rsidRDefault="001A64C8" w:rsidP="001A64C8">
            <w:pPr>
              <w:jc w:val="right"/>
              <w:rPr>
                <w:rFonts w:ascii="Calibri" w:hAnsi="Calibri" w:cs="Calibri"/>
                <w:sz w:val="20"/>
                <w:szCs w:val="20"/>
              </w:rPr>
            </w:pPr>
          </w:p>
        </w:tc>
        <w:tc>
          <w:tcPr>
            <w:tcW w:w="2051" w:type="dxa"/>
            <w:gridSpan w:val="2"/>
            <w:shd w:val="pct25" w:color="auto" w:fill="auto"/>
          </w:tcPr>
          <w:p w14:paraId="3F3C2479" w14:textId="77777777" w:rsidR="001A64C8" w:rsidRPr="009B5509" w:rsidRDefault="001A64C8" w:rsidP="001A64C8">
            <w:pPr>
              <w:jc w:val="right"/>
              <w:rPr>
                <w:rFonts w:ascii="Calibri" w:hAnsi="Calibri" w:cs="Calibri"/>
                <w:sz w:val="20"/>
                <w:szCs w:val="20"/>
              </w:rPr>
            </w:pPr>
          </w:p>
        </w:tc>
      </w:tr>
      <w:tr w:rsidR="009B5509" w:rsidRPr="009B5509" w14:paraId="16B40D2F" w14:textId="77777777" w:rsidTr="00217F83">
        <w:trPr>
          <w:jc w:val="center"/>
        </w:trPr>
        <w:tc>
          <w:tcPr>
            <w:tcW w:w="3654" w:type="dxa"/>
            <w:vAlign w:val="center"/>
          </w:tcPr>
          <w:p w14:paraId="34CDE184" w14:textId="77777777" w:rsidR="001A64C8" w:rsidRPr="009B5509" w:rsidRDefault="001A64C8" w:rsidP="001A64C8">
            <w:pPr>
              <w:rPr>
                <w:rFonts w:ascii="Calibri" w:hAnsi="Calibri" w:cs="Calibri"/>
                <w:b/>
                <w:sz w:val="20"/>
                <w:szCs w:val="20"/>
              </w:rPr>
            </w:pPr>
            <w:r w:rsidRPr="009B5509">
              <w:rPr>
                <w:rFonts w:ascii="Calibri" w:hAnsi="Calibri" w:cs="Calibri"/>
                <w:b/>
                <w:sz w:val="20"/>
                <w:szCs w:val="20"/>
              </w:rPr>
              <w:t xml:space="preserve">Total Outpatient Services </w:t>
            </w:r>
          </w:p>
        </w:tc>
        <w:tc>
          <w:tcPr>
            <w:tcW w:w="1960" w:type="dxa"/>
          </w:tcPr>
          <w:p w14:paraId="59514C0F" w14:textId="51A8C9D3" w:rsidR="001A64C8" w:rsidRPr="009B5509" w:rsidRDefault="001A64C8" w:rsidP="001A64C8">
            <w:pPr>
              <w:ind w:hanging="720"/>
              <w:jc w:val="right"/>
              <w:rPr>
                <w:rFonts w:ascii="Calibri" w:hAnsi="Calibri" w:cs="Calibri"/>
                <w:b/>
                <w:sz w:val="20"/>
                <w:szCs w:val="20"/>
              </w:rPr>
            </w:pPr>
            <w:r w:rsidRPr="009B5509">
              <w:rPr>
                <w:rFonts w:ascii="Calibri" w:hAnsi="Calibri" w:cs="Calibri"/>
                <w:b/>
                <w:sz w:val="20"/>
                <w:szCs w:val="20"/>
              </w:rPr>
              <w:t>1,326 FTEs</w:t>
            </w:r>
          </w:p>
        </w:tc>
        <w:tc>
          <w:tcPr>
            <w:tcW w:w="1960" w:type="dxa"/>
            <w:shd w:val="clear" w:color="auto" w:fill="auto"/>
          </w:tcPr>
          <w:p w14:paraId="1EDFC3C0" w14:textId="4DC123E4" w:rsidR="001A64C8" w:rsidRPr="009B5509" w:rsidRDefault="001A64C8" w:rsidP="001A64C8">
            <w:pPr>
              <w:ind w:hanging="720"/>
              <w:jc w:val="right"/>
              <w:rPr>
                <w:rFonts w:ascii="Calibri" w:hAnsi="Calibri" w:cs="Calibri"/>
                <w:b/>
                <w:sz w:val="20"/>
                <w:szCs w:val="20"/>
              </w:rPr>
            </w:pPr>
            <w:r w:rsidRPr="009B5509">
              <w:rPr>
                <w:rFonts w:ascii="Calibri" w:hAnsi="Calibri" w:cs="Calibri"/>
                <w:b/>
                <w:sz w:val="20"/>
                <w:szCs w:val="20"/>
              </w:rPr>
              <w:t>3 FTEs</w:t>
            </w:r>
          </w:p>
        </w:tc>
        <w:tc>
          <w:tcPr>
            <w:tcW w:w="2051" w:type="dxa"/>
            <w:gridSpan w:val="2"/>
          </w:tcPr>
          <w:p w14:paraId="09657099" w14:textId="164ED70C" w:rsidR="001A64C8" w:rsidRPr="009B5509" w:rsidRDefault="001A64C8" w:rsidP="001A64C8">
            <w:pPr>
              <w:ind w:hanging="720"/>
              <w:jc w:val="right"/>
              <w:rPr>
                <w:rFonts w:ascii="Calibri" w:hAnsi="Calibri" w:cs="Calibri"/>
                <w:b/>
                <w:sz w:val="20"/>
                <w:szCs w:val="20"/>
              </w:rPr>
            </w:pPr>
            <w:r w:rsidRPr="009B5509">
              <w:rPr>
                <w:rFonts w:ascii="Calibri" w:hAnsi="Calibri" w:cs="Calibri"/>
                <w:b/>
                <w:sz w:val="20"/>
                <w:szCs w:val="20"/>
              </w:rPr>
              <w:t>501 FTEs</w:t>
            </w:r>
          </w:p>
        </w:tc>
      </w:tr>
      <w:tr w:rsidR="009B5509" w:rsidRPr="009B5509" w14:paraId="5960F190" w14:textId="77777777" w:rsidTr="00217F83">
        <w:trPr>
          <w:jc w:val="center"/>
        </w:trPr>
        <w:tc>
          <w:tcPr>
            <w:tcW w:w="3654" w:type="dxa"/>
            <w:vAlign w:val="center"/>
          </w:tcPr>
          <w:p w14:paraId="146A7455"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Case Management Services</w:t>
            </w:r>
          </w:p>
        </w:tc>
        <w:tc>
          <w:tcPr>
            <w:tcW w:w="1960" w:type="dxa"/>
          </w:tcPr>
          <w:p w14:paraId="52FD9374" w14:textId="3633A748"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1,194 FTEs</w:t>
            </w:r>
          </w:p>
        </w:tc>
        <w:tc>
          <w:tcPr>
            <w:tcW w:w="1960" w:type="dxa"/>
            <w:shd w:val="clear" w:color="auto" w:fill="auto"/>
          </w:tcPr>
          <w:p w14:paraId="650EBA48" w14:textId="3AA14EAD"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693 FTEs</w:t>
            </w:r>
          </w:p>
        </w:tc>
        <w:tc>
          <w:tcPr>
            <w:tcW w:w="2051" w:type="dxa"/>
            <w:gridSpan w:val="2"/>
          </w:tcPr>
          <w:p w14:paraId="010D40A4" w14:textId="0BCED2C0"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119 FTEs</w:t>
            </w:r>
          </w:p>
        </w:tc>
      </w:tr>
      <w:tr w:rsidR="009B5509" w:rsidRPr="009B5509" w14:paraId="3D01DB96" w14:textId="77777777" w:rsidTr="00217F83">
        <w:trPr>
          <w:jc w:val="center"/>
        </w:trPr>
        <w:tc>
          <w:tcPr>
            <w:tcW w:w="3654" w:type="dxa"/>
            <w:vAlign w:val="center"/>
          </w:tcPr>
          <w:p w14:paraId="772009FC"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Day Treatment/ Partial Hospitalization</w:t>
            </w:r>
          </w:p>
        </w:tc>
        <w:tc>
          <w:tcPr>
            <w:tcW w:w="1960" w:type="dxa"/>
          </w:tcPr>
          <w:p w14:paraId="232BFF3C" w14:textId="4679B815"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460 Slots</w:t>
            </w:r>
          </w:p>
        </w:tc>
        <w:tc>
          <w:tcPr>
            <w:tcW w:w="1960" w:type="dxa"/>
            <w:shd w:val="pct25" w:color="auto" w:fill="auto"/>
          </w:tcPr>
          <w:p w14:paraId="69EB6FD8" w14:textId="77777777" w:rsidR="001A64C8" w:rsidRPr="009B5509" w:rsidRDefault="001A64C8" w:rsidP="001A64C8">
            <w:pPr>
              <w:ind w:hanging="720"/>
              <w:jc w:val="right"/>
              <w:rPr>
                <w:rFonts w:ascii="Calibri" w:hAnsi="Calibri" w:cs="Calibri"/>
                <w:sz w:val="20"/>
                <w:szCs w:val="20"/>
              </w:rPr>
            </w:pPr>
          </w:p>
        </w:tc>
        <w:tc>
          <w:tcPr>
            <w:tcW w:w="2051" w:type="dxa"/>
            <w:gridSpan w:val="2"/>
          </w:tcPr>
          <w:p w14:paraId="082EA383" w14:textId="5DF89D4C"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19 Slots</w:t>
            </w:r>
          </w:p>
        </w:tc>
      </w:tr>
      <w:tr w:rsidR="009B5509" w:rsidRPr="009B5509" w14:paraId="5BD04AB4" w14:textId="77777777" w:rsidTr="00217F83">
        <w:trPr>
          <w:jc w:val="center"/>
        </w:trPr>
        <w:tc>
          <w:tcPr>
            <w:tcW w:w="3654" w:type="dxa"/>
            <w:vAlign w:val="center"/>
          </w:tcPr>
          <w:p w14:paraId="69396DD8"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Rehabilitation/Habilitation</w:t>
            </w:r>
          </w:p>
        </w:tc>
        <w:tc>
          <w:tcPr>
            <w:tcW w:w="1960" w:type="dxa"/>
          </w:tcPr>
          <w:p w14:paraId="5B37D5E1" w14:textId="12CB46C4"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1,616 Slots</w:t>
            </w:r>
          </w:p>
        </w:tc>
        <w:tc>
          <w:tcPr>
            <w:tcW w:w="1960" w:type="dxa"/>
          </w:tcPr>
          <w:p w14:paraId="0814ED7C" w14:textId="74C817EA"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1,911 Slots</w:t>
            </w:r>
          </w:p>
        </w:tc>
        <w:tc>
          <w:tcPr>
            <w:tcW w:w="2051" w:type="dxa"/>
            <w:gridSpan w:val="2"/>
            <w:shd w:val="clear" w:color="auto" w:fill="BFBFBF" w:themeFill="background1" w:themeFillShade="BF"/>
          </w:tcPr>
          <w:p w14:paraId="25E7723C" w14:textId="77777777" w:rsidR="001A64C8" w:rsidRPr="009B5509" w:rsidRDefault="001A64C8" w:rsidP="001A64C8">
            <w:pPr>
              <w:ind w:hanging="720"/>
              <w:jc w:val="right"/>
              <w:rPr>
                <w:rFonts w:ascii="Calibri" w:hAnsi="Calibri" w:cs="Calibri"/>
                <w:sz w:val="20"/>
                <w:szCs w:val="20"/>
              </w:rPr>
            </w:pPr>
          </w:p>
        </w:tc>
      </w:tr>
      <w:tr w:rsidR="009B5509" w:rsidRPr="009B5509" w14:paraId="47A0C081" w14:textId="77777777" w:rsidTr="00217F83">
        <w:trPr>
          <w:jc w:val="center"/>
        </w:trPr>
        <w:tc>
          <w:tcPr>
            <w:tcW w:w="3654" w:type="dxa"/>
            <w:vAlign w:val="center"/>
          </w:tcPr>
          <w:p w14:paraId="60CEB06F" w14:textId="77777777" w:rsidR="001A64C8" w:rsidRPr="009B5509" w:rsidRDefault="001A64C8" w:rsidP="001A64C8">
            <w:pPr>
              <w:rPr>
                <w:rFonts w:ascii="Calibri" w:hAnsi="Calibri" w:cs="Calibri"/>
                <w:b/>
                <w:sz w:val="20"/>
                <w:szCs w:val="20"/>
              </w:rPr>
            </w:pPr>
            <w:r w:rsidRPr="009B5509">
              <w:rPr>
                <w:rFonts w:ascii="Calibri" w:hAnsi="Calibri" w:cs="Calibri"/>
                <w:b/>
                <w:sz w:val="20"/>
                <w:szCs w:val="20"/>
              </w:rPr>
              <w:t>Total Day Support Services</w:t>
            </w:r>
          </w:p>
        </w:tc>
        <w:tc>
          <w:tcPr>
            <w:tcW w:w="1960" w:type="dxa"/>
          </w:tcPr>
          <w:p w14:paraId="74537261" w14:textId="27D35ECC" w:rsidR="001A64C8" w:rsidRPr="009B5509" w:rsidRDefault="001A64C8" w:rsidP="001A64C8">
            <w:pPr>
              <w:ind w:hanging="720"/>
              <w:jc w:val="right"/>
              <w:rPr>
                <w:rFonts w:ascii="Calibri" w:hAnsi="Calibri" w:cs="Calibri"/>
                <w:b/>
                <w:sz w:val="20"/>
                <w:szCs w:val="20"/>
              </w:rPr>
            </w:pPr>
            <w:r w:rsidRPr="009B5509">
              <w:rPr>
                <w:rFonts w:ascii="Calibri" w:hAnsi="Calibri" w:cs="Calibri"/>
                <w:b/>
                <w:sz w:val="20"/>
                <w:szCs w:val="20"/>
              </w:rPr>
              <w:t>2,076 Slots</w:t>
            </w:r>
          </w:p>
        </w:tc>
        <w:tc>
          <w:tcPr>
            <w:tcW w:w="1960" w:type="dxa"/>
          </w:tcPr>
          <w:p w14:paraId="4057EE32" w14:textId="1ADDEE0D" w:rsidR="001A64C8" w:rsidRPr="009B5509" w:rsidRDefault="001A64C8" w:rsidP="001A64C8">
            <w:pPr>
              <w:ind w:hanging="720"/>
              <w:jc w:val="right"/>
              <w:rPr>
                <w:rFonts w:ascii="Calibri" w:hAnsi="Calibri" w:cs="Calibri"/>
                <w:b/>
                <w:sz w:val="20"/>
                <w:szCs w:val="20"/>
              </w:rPr>
            </w:pPr>
            <w:r w:rsidRPr="009B5509">
              <w:rPr>
                <w:rFonts w:ascii="Calibri" w:hAnsi="Calibri" w:cs="Calibri"/>
                <w:b/>
                <w:sz w:val="20"/>
                <w:szCs w:val="20"/>
              </w:rPr>
              <w:t>1,911 Slots</w:t>
            </w:r>
          </w:p>
        </w:tc>
        <w:tc>
          <w:tcPr>
            <w:tcW w:w="2051" w:type="dxa"/>
            <w:gridSpan w:val="2"/>
          </w:tcPr>
          <w:p w14:paraId="0859D0DB" w14:textId="4073E6F3"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19 Slots</w:t>
            </w:r>
          </w:p>
        </w:tc>
      </w:tr>
      <w:tr w:rsidR="009B5509" w:rsidRPr="009B5509" w14:paraId="1E7DEA6D" w14:textId="77777777" w:rsidTr="00217F83">
        <w:trPr>
          <w:jc w:val="center"/>
        </w:trPr>
        <w:tc>
          <w:tcPr>
            <w:tcW w:w="3654" w:type="dxa"/>
            <w:vAlign w:val="center"/>
          </w:tcPr>
          <w:p w14:paraId="7D05F165"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Sheltered Employment</w:t>
            </w:r>
          </w:p>
        </w:tc>
        <w:tc>
          <w:tcPr>
            <w:tcW w:w="1960" w:type="dxa"/>
          </w:tcPr>
          <w:p w14:paraId="680ABC68" w14:textId="0F30795A"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11 Slots</w:t>
            </w:r>
          </w:p>
        </w:tc>
        <w:tc>
          <w:tcPr>
            <w:tcW w:w="1960" w:type="dxa"/>
          </w:tcPr>
          <w:p w14:paraId="7EEAC06A" w14:textId="47814F0C"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273 Slots</w:t>
            </w:r>
          </w:p>
        </w:tc>
        <w:tc>
          <w:tcPr>
            <w:tcW w:w="2051" w:type="dxa"/>
            <w:gridSpan w:val="2"/>
            <w:vMerge w:val="restart"/>
            <w:shd w:val="pct25" w:color="auto" w:fill="auto"/>
          </w:tcPr>
          <w:p w14:paraId="0EE48C29" w14:textId="77777777" w:rsidR="001A64C8" w:rsidRPr="009B5509" w:rsidRDefault="001A64C8" w:rsidP="001A64C8">
            <w:pPr>
              <w:ind w:hanging="720"/>
              <w:jc w:val="right"/>
              <w:rPr>
                <w:rFonts w:ascii="Calibri" w:hAnsi="Calibri" w:cs="Calibri"/>
                <w:sz w:val="20"/>
                <w:szCs w:val="20"/>
              </w:rPr>
            </w:pPr>
          </w:p>
        </w:tc>
      </w:tr>
      <w:tr w:rsidR="009B5509" w:rsidRPr="009B5509" w14:paraId="52165766" w14:textId="77777777" w:rsidTr="00217F83">
        <w:trPr>
          <w:jc w:val="center"/>
        </w:trPr>
        <w:tc>
          <w:tcPr>
            <w:tcW w:w="3654" w:type="dxa"/>
            <w:vAlign w:val="center"/>
          </w:tcPr>
          <w:p w14:paraId="5F97200D"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Group Supported Employment</w:t>
            </w:r>
          </w:p>
        </w:tc>
        <w:tc>
          <w:tcPr>
            <w:tcW w:w="1960" w:type="dxa"/>
          </w:tcPr>
          <w:p w14:paraId="43B5855D" w14:textId="2660E82C"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4 Slots</w:t>
            </w:r>
          </w:p>
        </w:tc>
        <w:tc>
          <w:tcPr>
            <w:tcW w:w="1960" w:type="dxa"/>
          </w:tcPr>
          <w:p w14:paraId="25CA172E" w14:textId="52F9722D" w:rsidR="001A64C8" w:rsidRPr="009B5509" w:rsidRDefault="001A64C8" w:rsidP="001A64C8">
            <w:pPr>
              <w:jc w:val="right"/>
              <w:rPr>
                <w:rFonts w:ascii="Calibri" w:hAnsi="Calibri" w:cs="Calibri"/>
                <w:sz w:val="20"/>
                <w:szCs w:val="20"/>
              </w:rPr>
            </w:pPr>
            <w:r w:rsidRPr="009B5509">
              <w:rPr>
                <w:rFonts w:ascii="Calibri" w:hAnsi="Calibri" w:cs="Calibri"/>
                <w:sz w:val="20"/>
                <w:szCs w:val="20"/>
              </w:rPr>
              <w:t>343 Slots</w:t>
            </w:r>
          </w:p>
        </w:tc>
        <w:tc>
          <w:tcPr>
            <w:tcW w:w="2051" w:type="dxa"/>
            <w:gridSpan w:val="2"/>
            <w:vMerge/>
            <w:shd w:val="pct25" w:color="auto" w:fill="auto"/>
          </w:tcPr>
          <w:p w14:paraId="54E803BF" w14:textId="77777777" w:rsidR="001A64C8" w:rsidRPr="009B5509" w:rsidRDefault="001A64C8" w:rsidP="001A64C8">
            <w:pPr>
              <w:jc w:val="right"/>
              <w:rPr>
                <w:rFonts w:ascii="Calibri" w:hAnsi="Calibri" w:cs="Calibri"/>
                <w:sz w:val="20"/>
                <w:szCs w:val="20"/>
              </w:rPr>
            </w:pPr>
          </w:p>
        </w:tc>
      </w:tr>
      <w:tr w:rsidR="009B5509" w:rsidRPr="009B5509" w14:paraId="5B4400D2" w14:textId="77777777" w:rsidTr="00217F83">
        <w:trPr>
          <w:jc w:val="center"/>
        </w:trPr>
        <w:tc>
          <w:tcPr>
            <w:tcW w:w="3654" w:type="dxa"/>
            <w:vAlign w:val="center"/>
          </w:tcPr>
          <w:p w14:paraId="3E23B859" w14:textId="77777777" w:rsidR="001A64C8" w:rsidRPr="009B5509" w:rsidRDefault="001A64C8" w:rsidP="001A64C8">
            <w:pPr>
              <w:rPr>
                <w:rFonts w:ascii="Calibri" w:hAnsi="Calibri" w:cs="Calibri"/>
                <w:b/>
                <w:sz w:val="20"/>
                <w:szCs w:val="20"/>
              </w:rPr>
            </w:pPr>
            <w:r w:rsidRPr="009B5509">
              <w:rPr>
                <w:rFonts w:ascii="Calibri" w:hAnsi="Calibri" w:cs="Calibri"/>
                <w:b/>
                <w:sz w:val="20"/>
                <w:szCs w:val="20"/>
              </w:rPr>
              <w:t>Total Employment Slots</w:t>
            </w:r>
          </w:p>
        </w:tc>
        <w:tc>
          <w:tcPr>
            <w:tcW w:w="1960" w:type="dxa"/>
          </w:tcPr>
          <w:p w14:paraId="7B64156E" w14:textId="47F9D2C9" w:rsidR="001A64C8" w:rsidRPr="009B5509" w:rsidRDefault="001A64C8" w:rsidP="001A64C8">
            <w:pPr>
              <w:ind w:hanging="720"/>
              <w:jc w:val="right"/>
              <w:rPr>
                <w:rFonts w:ascii="Calibri" w:hAnsi="Calibri" w:cs="Calibri"/>
                <w:b/>
                <w:sz w:val="20"/>
                <w:szCs w:val="20"/>
              </w:rPr>
            </w:pPr>
            <w:r w:rsidRPr="009B5509">
              <w:rPr>
                <w:rFonts w:ascii="Calibri" w:hAnsi="Calibri" w:cs="Calibri"/>
                <w:b/>
                <w:sz w:val="20"/>
                <w:szCs w:val="20"/>
              </w:rPr>
              <w:t>15 Slots</w:t>
            </w:r>
          </w:p>
        </w:tc>
        <w:tc>
          <w:tcPr>
            <w:tcW w:w="1960" w:type="dxa"/>
          </w:tcPr>
          <w:p w14:paraId="49971AC4" w14:textId="6A2ED264" w:rsidR="001A64C8" w:rsidRPr="009B5509" w:rsidRDefault="001A64C8" w:rsidP="001A64C8">
            <w:pPr>
              <w:jc w:val="right"/>
              <w:rPr>
                <w:rFonts w:ascii="Calibri" w:hAnsi="Calibri" w:cs="Calibri"/>
                <w:b/>
                <w:sz w:val="20"/>
                <w:szCs w:val="20"/>
              </w:rPr>
            </w:pPr>
            <w:r w:rsidRPr="009B5509">
              <w:rPr>
                <w:rFonts w:ascii="Calibri" w:hAnsi="Calibri" w:cs="Calibri"/>
                <w:b/>
                <w:sz w:val="20"/>
                <w:szCs w:val="20"/>
              </w:rPr>
              <w:t>616 Slots</w:t>
            </w:r>
          </w:p>
        </w:tc>
        <w:tc>
          <w:tcPr>
            <w:tcW w:w="2051" w:type="dxa"/>
            <w:gridSpan w:val="2"/>
            <w:vMerge/>
            <w:shd w:val="pct25" w:color="auto" w:fill="auto"/>
          </w:tcPr>
          <w:p w14:paraId="44EAAA25" w14:textId="77777777" w:rsidR="001A64C8" w:rsidRPr="009B5509" w:rsidRDefault="001A64C8" w:rsidP="001A64C8">
            <w:pPr>
              <w:jc w:val="right"/>
              <w:rPr>
                <w:rFonts w:ascii="Calibri" w:hAnsi="Calibri" w:cs="Calibri"/>
                <w:sz w:val="20"/>
                <w:szCs w:val="20"/>
              </w:rPr>
            </w:pPr>
          </w:p>
        </w:tc>
      </w:tr>
      <w:tr w:rsidR="009B5509" w:rsidRPr="009B5509" w14:paraId="241685B8" w14:textId="77777777" w:rsidTr="00217F83">
        <w:trPr>
          <w:jc w:val="center"/>
        </w:trPr>
        <w:tc>
          <w:tcPr>
            <w:tcW w:w="3654" w:type="dxa"/>
            <w:vAlign w:val="center"/>
          </w:tcPr>
          <w:p w14:paraId="5AE06875"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Individual Supported Employment</w:t>
            </w:r>
          </w:p>
        </w:tc>
        <w:tc>
          <w:tcPr>
            <w:tcW w:w="1960" w:type="dxa"/>
          </w:tcPr>
          <w:p w14:paraId="6E14271E" w14:textId="0041ADD9"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24 FTEs</w:t>
            </w:r>
          </w:p>
        </w:tc>
        <w:tc>
          <w:tcPr>
            <w:tcW w:w="1960" w:type="dxa"/>
          </w:tcPr>
          <w:p w14:paraId="162DA934" w14:textId="58FC8E99"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37 FTEs</w:t>
            </w:r>
          </w:p>
        </w:tc>
        <w:tc>
          <w:tcPr>
            <w:tcW w:w="2051" w:type="dxa"/>
            <w:gridSpan w:val="2"/>
            <w:shd w:val="clear" w:color="auto" w:fill="auto"/>
          </w:tcPr>
          <w:p w14:paraId="70C0FABE" w14:textId="0E686BA6"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2 FTEs</w:t>
            </w:r>
          </w:p>
        </w:tc>
      </w:tr>
      <w:tr w:rsidR="009B5509" w:rsidRPr="009B5509" w14:paraId="2C40A3ED" w14:textId="77777777" w:rsidTr="00217F83">
        <w:trPr>
          <w:jc w:val="center"/>
        </w:trPr>
        <w:tc>
          <w:tcPr>
            <w:tcW w:w="3654" w:type="dxa"/>
            <w:tcMar>
              <w:left w:w="0" w:type="dxa"/>
              <w:right w:w="0" w:type="dxa"/>
            </w:tcMar>
            <w:vAlign w:val="center"/>
          </w:tcPr>
          <w:p w14:paraId="0F149B72"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Highly Intensive Residential Services</w:t>
            </w:r>
          </w:p>
        </w:tc>
        <w:tc>
          <w:tcPr>
            <w:tcW w:w="1960" w:type="dxa"/>
          </w:tcPr>
          <w:p w14:paraId="249C0F5A" w14:textId="0F89D95D"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32 Beds</w:t>
            </w:r>
          </w:p>
        </w:tc>
        <w:tc>
          <w:tcPr>
            <w:tcW w:w="1960" w:type="dxa"/>
          </w:tcPr>
          <w:p w14:paraId="1205A63F" w14:textId="7B679C58"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265 Beds</w:t>
            </w:r>
          </w:p>
        </w:tc>
        <w:tc>
          <w:tcPr>
            <w:tcW w:w="2051" w:type="dxa"/>
            <w:gridSpan w:val="2"/>
          </w:tcPr>
          <w:p w14:paraId="7DC77B5A" w14:textId="5E62E437"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54 Beds</w:t>
            </w:r>
          </w:p>
        </w:tc>
      </w:tr>
      <w:tr w:rsidR="009B5509" w:rsidRPr="009B5509" w14:paraId="380260F6" w14:textId="77777777" w:rsidTr="00217F83">
        <w:trPr>
          <w:jc w:val="center"/>
        </w:trPr>
        <w:tc>
          <w:tcPr>
            <w:tcW w:w="3654" w:type="dxa"/>
            <w:vAlign w:val="center"/>
          </w:tcPr>
          <w:p w14:paraId="46DD777D"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Residential Crisis Stabilization</w:t>
            </w:r>
          </w:p>
        </w:tc>
        <w:tc>
          <w:tcPr>
            <w:tcW w:w="1960" w:type="dxa"/>
          </w:tcPr>
          <w:p w14:paraId="393DDFAF" w14:textId="5B4A7F95"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113 Beds</w:t>
            </w:r>
          </w:p>
        </w:tc>
        <w:tc>
          <w:tcPr>
            <w:tcW w:w="1960" w:type="dxa"/>
            <w:shd w:val="clear" w:color="auto" w:fill="auto"/>
          </w:tcPr>
          <w:p w14:paraId="15BB1E49" w14:textId="1CA11CB8"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42 Beds</w:t>
            </w:r>
          </w:p>
        </w:tc>
        <w:tc>
          <w:tcPr>
            <w:tcW w:w="2051" w:type="dxa"/>
            <w:gridSpan w:val="2"/>
          </w:tcPr>
          <w:p w14:paraId="4685849A" w14:textId="4CF68BEF"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2 Beds</w:t>
            </w:r>
          </w:p>
        </w:tc>
      </w:tr>
      <w:tr w:rsidR="009B5509" w:rsidRPr="009B5509" w14:paraId="74FC1459" w14:textId="77777777" w:rsidTr="00217F83">
        <w:trPr>
          <w:jc w:val="center"/>
        </w:trPr>
        <w:tc>
          <w:tcPr>
            <w:tcW w:w="3654" w:type="dxa"/>
            <w:vAlign w:val="center"/>
          </w:tcPr>
          <w:p w14:paraId="4E4E96FB"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Intensive Residential Services</w:t>
            </w:r>
          </w:p>
        </w:tc>
        <w:tc>
          <w:tcPr>
            <w:tcW w:w="1960" w:type="dxa"/>
          </w:tcPr>
          <w:p w14:paraId="3802FE51" w14:textId="514339C0"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178 Beds</w:t>
            </w:r>
          </w:p>
        </w:tc>
        <w:tc>
          <w:tcPr>
            <w:tcW w:w="1960" w:type="dxa"/>
          </w:tcPr>
          <w:p w14:paraId="65E328D0" w14:textId="22D2B408"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568 Beds</w:t>
            </w:r>
          </w:p>
        </w:tc>
        <w:tc>
          <w:tcPr>
            <w:tcW w:w="2051" w:type="dxa"/>
            <w:gridSpan w:val="2"/>
          </w:tcPr>
          <w:p w14:paraId="56A1A707" w14:textId="69D4663F"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191 Beds</w:t>
            </w:r>
          </w:p>
        </w:tc>
      </w:tr>
      <w:tr w:rsidR="009B5509" w:rsidRPr="009B5509" w14:paraId="741F47CB" w14:textId="77777777" w:rsidTr="00217F83">
        <w:trPr>
          <w:jc w:val="center"/>
        </w:trPr>
        <w:tc>
          <w:tcPr>
            <w:tcW w:w="3654" w:type="dxa"/>
            <w:vAlign w:val="center"/>
          </w:tcPr>
          <w:p w14:paraId="05A59BF6"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Supervised Residential Services</w:t>
            </w:r>
          </w:p>
        </w:tc>
        <w:tc>
          <w:tcPr>
            <w:tcW w:w="1960" w:type="dxa"/>
          </w:tcPr>
          <w:p w14:paraId="3D5CE922" w14:textId="5A85D34E"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875 Beds</w:t>
            </w:r>
          </w:p>
        </w:tc>
        <w:tc>
          <w:tcPr>
            <w:tcW w:w="1960" w:type="dxa"/>
          </w:tcPr>
          <w:p w14:paraId="3068A31B" w14:textId="7B977B71"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444 Beds</w:t>
            </w:r>
          </w:p>
        </w:tc>
        <w:tc>
          <w:tcPr>
            <w:tcW w:w="2051" w:type="dxa"/>
            <w:gridSpan w:val="2"/>
          </w:tcPr>
          <w:p w14:paraId="39460FE9" w14:textId="2CEBF9A8"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79 Beds</w:t>
            </w:r>
          </w:p>
        </w:tc>
      </w:tr>
      <w:tr w:rsidR="009B5509" w:rsidRPr="009B5509" w14:paraId="0DE7FDE1" w14:textId="77777777" w:rsidTr="00217F83">
        <w:trPr>
          <w:jc w:val="center"/>
        </w:trPr>
        <w:tc>
          <w:tcPr>
            <w:tcW w:w="3654" w:type="dxa"/>
            <w:vAlign w:val="center"/>
          </w:tcPr>
          <w:p w14:paraId="6F12385F" w14:textId="77777777" w:rsidR="001A64C8" w:rsidRPr="009B5509" w:rsidRDefault="001A64C8" w:rsidP="001A64C8">
            <w:pPr>
              <w:rPr>
                <w:rFonts w:ascii="Calibri" w:hAnsi="Calibri" w:cs="Calibri"/>
                <w:sz w:val="20"/>
                <w:szCs w:val="20"/>
              </w:rPr>
            </w:pPr>
            <w:r w:rsidRPr="009B5509">
              <w:rPr>
                <w:rFonts w:ascii="Calibri" w:hAnsi="Calibri" w:cs="Calibri"/>
                <w:b/>
                <w:sz w:val="20"/>
                <w:szCs w:val="20"/>
              </w:rPr>
              <w:t>Total Residential Beds</w:t>
            </w:r>
          </w:p>
        </w:tc>
        <w:tc>
          <w:tcPr>
            <w:tcW w:w="1960" w:type="dxa"/>
          </w:tcPr>
          <w:p w14:paraId="290977A5" w14:textId="06108F76" w:rsidR="001A64C8" w:rsidRPr="009B5509" w:rsidRDefault="001A64C8" w:rsidP="001A64C8">
            <w:pPr>
              <w:ind w:hanging="720"/>
              <w:jc w:val="right"/>
              <w:rPr>
                <w:rFonts w:ascii="Calibri" w:hAnsi="Calibri" w:cs="Calibri"/>
                <w:b/>
                <w:sz w:val="20"/>
                <w:szCs w:val="20"/>
              </w:rPr>
            </w:pPr>
            <w:r w:rsidRPr="009B5509">
              <w:rPr>
                <w:rFonts w:ascii="Calibri" w:hAnsi="Calibri" w:cs="Calibri"/>
                <w:b/>
                <w:sz w:val="20"/>
                <w:szCs w:val="20"/>
              </w:rPr>
              <w:t>1,199 Beds</w:t>
            </w:r>
          </w:p>
        </w:tc>
        <w:tc>
          <w:tcPr>
            <w:tcW w:w="1960" w:type="dxa"/>
          </w:tcPr>
          <w:p w14:paraId="6B3FB467" w14:textId="06942E97" w:rsidR="001A64C8" w:rsidRPr="009B5509" w:rsidRDefault="001A64C8" w:rsidP="001A64C8">
            <w:pPr>
              <w:ind w:hanging="720"/>
              <w:jc w:val="right"/>
              <w:rPr>
                <w:rFonts w:ascii="Calibri" w:hAnsi="Calibri" w:cs="Calibri"/>
                <w:b/>
                <w:sz w:val="20"/>
                <w:szCs w:val="20"/>
              </w:rPr>
            </w:pPr>
            <w:r w:rsidRPr="009B5509">
              <w:rPr>
                <w:rFonts w:ascii="Calibri" w:hAnsi="Calibri" w:cs="Calibri"/>
                <w:b/>
                <w:sz w:val="20"/>
                <w:szCs w:val="20"/>
              </w:rPr>
              <w:t>1,319 Beds</w:t>
            </w:r>
          </w:p>
        </w:tc>
        <w:tc>
          <w:tcPr>
            <w:tcW w:w="2051" w:type="dxa"/>
            <w:gridSpan w:val="2"/>
          </w:tcPr>
          <w:p w14:paraId="05F8CDDB" w14:textId="4D539A39" w:rsidR="001A64C8" w:rsidRPr="009B5509" w:rsidRDefault="001A64C8" w:rsidP="001A64C8">
            <w:pPr>
              <w:ind w:hanging="720"/>
              <w:jc w:val="right"/>
              <w:rPr>
                <w:rFonts w:ascii="Calibri" w:hAnsi="Calibri" w:cs="Calibri"/>
                <w:b/>
                <w:sz w:val="20"/>
                <w:szCs w:val="20"/>
              </w:rPr>
            </w:pPr>
            <w:r w:rsidRPr="009B5509">
              <w:rPr>
                <w:rFonts w:ascii="Calibri" w:hAnsi="Calibri" w:cs="Calibri"/>
                <w:b/>
                <w:sz w:val="20"/>
                <w:szCs w:val="20"/>
              </w:rPr>
              <w:t>328 Beds</w:t>
            </w:r>
          </w:p>
        </w:tc>
      </w:tr>
      <w:tr w:rsidR="009B5509" w:rsidRPr="009B5509" w14:paraId="378B3ED6" w14:textId="77777777" w:rsidTr="00217F83">
        <w:trPr>
          <w:jc w:val="center"/>
        </w:trPr>
        <w:tc>
          <w:tcPr>
            <w:tcW w:w="3654" w:type="dxa"/>
            <w:vAlign w:val="center"/>
          </w:tcPr>
          <w:p w14:paraId="180349E0"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 xml:space="preserve">Supportive Residential Services </w:t>
            </w:r>
          </w:p>
        </w:tc>
        <w:tc>
          <w:tcPr>
            <w:tcW w:w="1960" w:type="dxa"/>
          </w:tcPr>
          <w:p w14:paraId="5135E580" w14:textId="5F9FB44B"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188 FTEs</w:t>
            </w:r>
          </w:p>
        </w:tc>
        <w:tc>
          <w:tcPr>
            <w:tcW w:w="1960" w:type="dxa"/>
          </w:tcPr>
          <w:p w14:paraId="1BB23226" w14:textId="27000A56"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105 FTEs</w:t>
            </w:r>
          </w:p>
        </w:tc>
        <w:tc>
          <w:tcPr>
            <w:tcW w:w="2051" w:type="dxa"/>
            <w:gridSpan w:val="2"/>
          </w:tcPr>
          <w:p w14:paraId="1E3A9CB2" w14:textId="7739E651"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5 FTEs</w:t>
            </w:r>
          </w:p>
        </w:tc>
      </w:tr>
      <w:tr w:rsidR="009B5509" w:rsidRPr="009B5509" w14:paraId="7158EEEB" w14:textId="77777777" w:rsidTr="00030113">
        <w:trPr>
          <w:jc w:val="center"/>
        </w:trPr>
        <w:tc>
          <w:tcPr>
            <w:tcW w:w="3654" w:type="dxa"/>
            <w:vAlign w:val="center"/>
          </w:tcPr>
          <w:p w14:paraId="73F65C4C" w14:textId="77777777" w:rsidR="001A64C8" w:rsidRPr="009B5509" w:rsidRDefault="001A64C8" w:rsidP="001A64C8">
            <w:pPr>
              <w:rPr>
                <w:rFonts w:ascii="Calibri" w:hAnsi="Calibri" w:cs="Calibri"/>
                <w:sz w:val="20"/>
                <w:szCs w:val="20"/>
              </w:rPr>
            </w:pPr>
            <w:r w:rsidRPr="009B5509">
              <w:rPr>
                <w:rFonts w:ascii="Calibri" w:hAnsi="Calibri" w:cs="Calibri"/>
                <w:sz w:val="20"/>
                <w:szCs w:val="20"/>
              </w:rPr>
              <w:t>Prevention Services</w:t>
            </w:r>
          </w:p>
        </w:tc>
        <w:tc>
          <w:tcPr>
            <w:tcW w:w="1960" w:type="dxa"/>
          </w:tcPr>
          <w:p w14:paraId="4D3FD787" w14:textId="2B1E62AA"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19 FTEs</w:t>
            </w:r>
          </w:p>
        </w:tc>
        <w:tc>
          <w:tcPr>
            <w:tcW w:w="1960" w:type="dxa"/>
            <w:shd w:val="clear" w:color="auto" w:fill="BFBFBF" w:themeFill="background1" w:themeFillShade="BF"/>
          </w:tcPr>
          <w:p w14:paraId="253C4311" w14:textId="492A2FAA" w:rsidR="001A64C8" w:rsidRPr="009B5509" w:rsidRDefault="001A64C8" w:rsidP="001A64C8">
            <w:pPr>
              <w:ind w:hanging="720"/>
              <w:jc w:val="right"/>
              <w:rPr>
                <w:rFonts w:ascii="Calibri" w:hAnsi="Calibri" w:cs="Calibri"/>
                <w:sz w:val="20"/>
                <w:szCs w:val="20"/>
              </w:rPr>
            </w:pPr>
          </w:p>
        </w:tc>
        <w:tc>
          <w:tcPr>
            <w:tcW w:w="2051" w:type="dxa"/>
            <w:gridSpan w:val="2"/>
          </w:tcPr>
          <w:p w14:paraId="13E5A1AB" w14:textId="23929350" w:rsidR="001A64C8" w:rsidRPr="009B5509" w:rsidRDefault="001A64C8" w:rsidP="001A64C8">
            <w:pPr>
              <w:ind w:hanging="720"/>
              <w:jc w:val="right"/>
              <w:rPr>
                <w:rFonts w:ascii="Calibri" w:hAnsi="Calibri" w:cs="Calibri"/>
                <w:sz w:val="20"/>
                <w:szCs w:val="20"/>
              </w:rPr>
            </w:pPr>
            <w:r w:rsidRPr="009B5509">
              <w:rPr>
                <w:rFonts w:ascii="Calibri" w:hAnsi="Calibri" w:cs="Calibri"/>
                <w:sz w:val="20"/>
                <w:szCs w:val="20"/>
              </w:rPr>
              <w:t>166 FTEs</w:t>
            </w:r>
          </w:p>
        </w:tc>
      </w:tr>
    </w:tbl>
    <w:p w14:paraId="40EB0843" w14:textId="0C1977C0" w:rsidR="001A64C8" w:rsidRDefault="00217F83" w:rsidP="001A64C8">
      <w:pPr>
        <w:spacing w:before="40"/>
        <w:ind w:left="90" w:firstLine="36"/>
        <w:rPr>
          <w:i/>
          <w:color w:val="000000" w:themeColor="text1"/>
          <w:sz w:val="18"/>
          <w:szCs w:val="18"/>
        </w:rPr>
      </w:pPr>
      <w:r w:rsidRPr="00D40C92">
        <w:rPr>
          <w:b/>
          <w:i/>
          <w:color w:val="000000" w:themeColor="text1"/>
          <w:sz w:val="18"/>
          <w:szCs w:val="18"/>
          <w:vertAlign w:val="superscript"/>
        </w:rPr>
        <w:t xml:space="preserve"> </w:t>
      </w:r>
      <w:r w:rsidR="006540CF" w:rsidRPr="00D40C92">
        <w:rPr>
          <w:b/>
          <w:i/>
          <w:color w:val="000000" w:themeColor="text1"/>
          <w:sz w:val="18"/>
          <w:szCs w:val="18"/>
          <w:vertAlign w:val="superscript"/>
        </w:rPr>
        <w:t>1</w:t>
      </w:r>
      <w:r w:rsidR="006540CF" w:rsidRPr="00D40C92">
        <w:rPr>
          <w:i/>
          <w:color w:val="000000" w:themeColor="text1"/>
          <w:sz w:val="18"/>
          <w:szCs w:val="18"/>
          <w:vertAlign w:val="superscript"/>
        </w:rPr>
        <w:t xml:space="preserve"> </w:t>
      </w:r>
      <w:r w:rsidR="001A64C8">
        <w:rPr>
          <w:i/>
          <w:color w:val="000000" w:themeColor="text1"/>
          <w:sz w:val="18"/>
          <w:szCs w:val="18"/>
        </w:rPr>
        <w:t xml:space="preserve">State facility beds are as of June 30, </w:t>
      </w:r>
      <w:proofErr w:type="gramStart"/>
      <w:r w:rsidR="001A64C8">
        <w:rPr>
          <w:i/>
          <w:color w:val="000000" w:themeColor="text1"/>
          <w:sz w:val="18"/>
          <w:szCs w:val="18"/>
        </w:rPr>
        <w:t>2022</w:t>
      </w:r>
      <w:proofErr w:type="gramEnd"/>
      <w:r w:rsidR="001A64C8">
        <w:rPr>
          <w:i/>
          <w:color w:val="000000" w:themeColor="text1"/>
          <w:sz w:val="18"/>
          <w:szCs w:val="18"/>
        </w:rPr>
        <w:t xml:space="preserve"> and reflected staffed beds only</w:t>
      </w:r>
    </w:p>
    <w:p w14:paraId="4E211D6B" w14:textId="4813C14D" w:rsidR="00C51F02" w:rsidRPr="00D40C92" w:rsidRDefault="00C51F02" w:rsidP="001A64C8">
      <w:pPr>
        <w:spacing w:before="40"/>
        <w:ind w:left="90" w:firstLine="36"/>
        <w:rPr>
          <w:i/>
          <w:color w:val="000000" w:themeColor="text1"/>
          <w:sz w:val="18"/>
          <w:szCs w:val="18"/>
        </w:rPr>
      </w:pPr>
      <w:r w:rsidRPr="00D40C92">
        <w:rPr>
          <w:b/>
          <w:i/>
          <w:color w:val="000000" w:themeColor="text1"/>
          <w:sz w:val="18"/>
          <w:szCs w:val="18"/>
          <w:vertAlign w:val="superscript"/>
        </w:rPr>
        <w:t>2</w:t>
      </w:r>
      <w:r w:rsidRPr="00D40C92">
        <w:rPr>
          <w:i/>
          <w:color w:val="000000" w:themeColor="text1"/>
          <w:sz w:val="18"/>
          <w:szCs w:val="18"/>
          <w:vertAlign w:val="superscript"/>
        </w:rPr>
        <w:t xml:space="preserve"> </w:t>
      </w:r>
      <w:r w:rsidRPr="00D40C92">
        <w:rPr>
          <w:i/>
          <w:color w:val="000000" w:themeColor="text1"/>
          <w:sz w:val="18"/>
          <w:szCs w:val="18"/>
        </w:rPr>
        <w:t>HDMC is a medical center and not a state hospital. It is listed in the chart in the DV column</w:t>
      </w:r>
      <w:r w:rsidRPr="00D40C92">
        <w:rPr>
          <w:i/>
          <w:color w:val="000000" w:themeColor="text1"/>
          <w:sz w:val="18"/>
          <w:szCs w:val="18"/>
        </w:rPr>
        <w:br/>
      </w:r>
      <w:r w:rsidRPr="00D40C92">
        <w:rPr>
          <w:b/>
          <w:i/>
          <w:color w:val="000000" w:themeColor="text1"/>
          <w:sz w:val="18"/>
          <w:szCs w:val="18"/>
          <w:vertAlign w:val="superscript"/>
        </w:rPr>
        <w:t>3</w:t>
      </w:r>
      <w:r w:rsidRPr="00D40C92">
        <w:rPr>
          <w:i/>
          <w:color w:val="000000" w:themeColor="text1"/>
          <w:sz w:val="18"/>
          <w:szCs w:val="18"/>
          <w:vertAlign w:val="superscript"/>
        </w:rPr>
        <w:t xml:space="preserve"> </w:t>
      </w:r>
      <w:r w:rsidRPr="00D40C92">
        <w:rPr>
          <w:i/>
          <w:color w:val="000000" w:themeColor="text1"/>
          <w:sz w:val="18"/>
          <w:szCs w:val="18"/>
        </w:rPr>
        <w:t xml:space="preserve">VCBR is not a state </w:t>
      </w:r>
      <w:proofErr w:type="gramStart"/>
      <w:r w:rsidRPr="00D40C92">
        <w:rPr>
          <w:i/>
          <w:color w:val="000000" w:themeColor="text1"/>
          <w:sz w:val="18"/>
          <w:szCs w:val="18"/>
        </w:rPr>
        <w:t>hospital</w:t>
      </w:r>
      <w:proofErr w:type="gramEnd"/>
      <w:r w:rsidRPr="00D40C92">
        <w:rPr>
          <w:i/>
          <w:color w:val="000000" w:themeColor="text1"/>
          <w:sz w:val="18"/>
          <w:szCs w:val="18"/>
        </w:rPr>
        <w:t xml:space="preserve"> but it is listed in the chart in the MH column.</w:t>
      </w:r>
    </w:p>
    <w:p w14:paraId="03CAB8E1" w14:textId="77777777" w:rsidR="00696562" w:rsidRPr="00C0133E" w:rsidRDefault="00696562" w:rsidP="00F46923">
      <w:pPr>
        <w:rPr>
          <w:b/>
          <w:sz w:val="10"/>
          <w:szCs w:val="10"/>
          <w:highlight w:val="magenta"/>
        </w:rPr>
      </w:pPr>
    </w:p>
    <w:p w14:paraId="0BF13D3E" w14:textId="7644A6D0" w:rsidR="00E265AE" w:rsidRPr="00EC76CD" w:rsidRDefault="00B72DF5" w:rsidP="00F46923">
      <w:pPr>
        <w:rPr>
          <w:b/>
          <w:sz w:val="36"/>
          <w:szCs w:val="36"/>
        </w:rPr>
      </w:pPr>
      <w:bookmarkStart w:id="3" w:name="Staffing"/>
      <w:r>
        <w:rPr>
          <w:b/>
          <w:sz w:val="36"/>
          <w:szCs w:val="36"/>
        </w:rPr>
        <w:br w:type="page"/>
      </w:r>
      <w:r w:rsidR="00E265AE" w:rsidRPr="00EC76CD">
        <w:rPr>
          <w:b/>
          <w:sz w:val="36"/>
          <w:szCs w:val="36"/>
        </w:rPr>
        <w:lastRenderedPageBreak/>
        <w:t>Staffing of CSBs and DBHDS</w:t>
      </w:r>
    </w:p>
    <w:bookmarkEnd w:id="3"/>
    <w:p w14:paraId="40C72EA4" w14:textId="77777777" w:rsidR="00E265AE" w:rsidRPr="00EC76CD" w:rsidRDefault="00E265AE" w:rsidP="00F46923">
      <w:pPr>
        <w:rPr>
          <w:color w:val="FF0000"/>
          <w:sz w:val="16"/>
          <w:szCs w:val="16"/>
        </w:rPr>
      </w:pPr>
    </w:p>
    <w:p w14:paraId="34552F7B" w14:textId="77777777" w:rsidR="00E265AE" w:rsidRPr="00EC76CD" w:rsidRDefault="00E265AE" w:rsidP="00F46923">
      <w:r w:rsidRPr="00EC76CD">
        <w:t xml:space="preserve">Figure 15 contains staffing data about CSBs, state facilities, and the DBHDS central office, expressed as numbers of full time equivalents (FTEs). </w:t>
      </w:r>
    </w:p>
    <w:p w14:paraId="430B5CB9" w14:textId="77777777" w:rsidR="00E265AE" w:rsidRPr="003D6438" w:rsidRDefault="00E265AE" w:rsidP="00F46923">
      <w:pPr>
        <w:rPr>
          <w:color w:val="FF0000"/>
          <w:highlight w:val="cyan"/>
        </w:rPr>
      </w:pPr>
    </w:p>
    <w:tbl>
      <w:tblPr>
        <w:tblW w:w="936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9" w:type="dxa"/>
          <w:right w:w="29" w:type="dxa"/>
        </w:tblCellMar>
        <w:tblLook w:val="00A0" w:firstRow="1" w:lastRow="0" w:firstColumn="1" w:lastColumn="0" w:noHBand="0" w:noVBand="0"/>
      </w:tblPr>
      <w:tblGrid>
        <w:gridCol w:w="4590"/>
        <w:gridCol w:w="1260"/>
        <w:gridCol w:w="990"/>
        <w:gridCol w:w="1170"/>
        <w:gridCol w:w="1350"/>
      </w:tblGrid>
      <w:tr w:rsidR="00E265AE" w:rsidRPr="00844F6D" w14:paraId="56A413F3" w14:textId="77777777" w:rsidTr="00A61A4B">
        <w:trPr>
          <w:trHeight w:val="152"/>
          <w:jc w:val="center"/>
        </w:trPr>
        <w:tc>
          <w:tcPr>
            <w:tcW w:w="4590" w:type="dxa"/>
            <w:vAlign w:val="center"/>
          </w:tcPr>
          <w:p w14:paraId="25F0F349" w14:textId="5E19A6F1" w:rsidR="00E265AE" w:rsidRPr="00F047E1" w:rsidRDefault="00E265AE" w:rsidP="00F46923">
            <w:pPr>
              <w:jc w:val="center"/>
              <w:rPr>
                <w:rFonts w:ascii="Calibri" w:hAnsi="Calibri" w:cs="Calibri"/>
                <w:b/>
                <w:sz w:val="20"/>
                <w:szCs w:val="20"/>
              </w:rPr>
            </w:pPr>
            <w:r w:rsidRPr="003A6F22">
              <w:rPr>
                <w:rFonts w:ascii="Calibri" w:hAnsi="Calibri" w:cs="Calibri"/>
                <w:b/>
                <w:color w:val="365F91" w:themeColor="accent1" w:themeShade="BF"/>
                <w:sz w:val="20"/>
                <w:szCs w:val="20"/>
              </w:rPr>
              <w:t>Figure 15:</w:t>
            </w:r>
            <w:r w:rsidRPr="00F047E1">
              <w:rPr>
                <w:rFonts w:ascii="Calibri" w:hAnsi="Calibri" w:cs="Calibri"/>
                <w:b/>
                <w:color w:val="365F91" w:themeColor="accent1" w:themeShade="BF"/>
                <w:sz w:val="20"/>
                <w:szCs w:val="20"/>
              </w:rPr>
              <w:t xml:space="preserve">  FY 202</w:t>
            </w:r>
            <w:r w:rsidR="00F815D5">
              <w:rPr>
                <w:rFonts w:ascii="Calibri" w:hAnsi="Calibri" w:cs="Calibri"/>
                <w:b/>
                <w:color w:val="365F91" w:themeColor="accent1" w:themeShade="BF"/>
                <w:sz w:val="20"/>
                <w:szCs w:val="20"/>
              </w:rPr>
              <w:t>2</w:t>
            </w:r>
            <w:r w:rsidRPr="00F047E1">
              <w:rPr>
                <w:rFonts w:ascii="Calibri" w:hAnsi="Calibri" w:cs="Calibri"/>
                <w:b/>
                <w:color w:val="365F91" w:themeColor="accent1" w:themeShade="BF"/>
                <w:sz w:val="20"/>
                <w:szCs w:val="20"/>
              </w:rPr>
              <w:t xml:space="preserve"> CSB, State Hospital and Center, and DBHDS Central Office Staffing (FTEs)</w:t>
            </w:r>
          </w:p>
        </w:tc>
        <w:tc>
          <w:tcPr>
            <w:tcW w:w="1260" w:type="dxa"/>
          </w:tcPr>
          <w:p w14:paraId="27B1F556" w14:textId="77777777" w:rsidR="00E265AE" w:rsidRPr="00F047E1" w:rsidRDefault="00E265AE" w:rsidP="00F46923">
            <w:pPr>
              <w:jc w:val="center"/>
              <w:rPr>
                <w:rFonts w:ascii="Calibri" w:hAnsi="Calibri" w:cs="Calibri"/>
                <w:b/>
                <w:sz w:val="20"/>
                <w:szCs w:val="20"/>
              </w:rPr>
            </w:pPr>
            <w:r w:rsidRPr="00F047E1">
              <w:rPr>
                <w:rFonts w:ascii="Calibri" w:hAnsi="Calibri" w:cs="Calibri"/>
                <w:b/>
                <w:sz w:val="20"/>
                <w:szCs w:val="20"/>
              </w:rPr>
              <w:t>Direct</w:t>
            </w:r>
          </w:p>
          <w:p w14:paraId="711DB875" w14:textId="77777777" w:rsidR="00E265AE" w:rsidRPr="00F047E1" w:rsidRDefault="00E265AE" w:rsidP="00F46923">
            <w:pPr>
              <w:jc w:val="center"/>
              <w:rPr>
                <w:rFonts w:ascii="Calibri" w:hAnsi="Calibri" w:cs="Calibri"/>
                <w:b/>
                <w:sz w:val="20"/>
                <w:szCs w:val="20"/>
              </w:rPr>
            </w:pPr>
            <w:r w:rsidRPr="00F047E1">
              <w:rPr>
                <w:rFonts w:ascii="Calibri" w:hAnsi="Calibri" w:cs="Calibri"/>
                <w:b/>
                <w:sz w:val="20"/>
                <w:szCs w:val="20"/>
              </w:rPr>
              <w:t>Care Staff</w:t>
            </w:r>
          </w:p>
        </w:tc>
        <w:tc>
          <w:tcPr>
            <w:tcW w:w="990" w:type="dxa"/>
          </w:tcPr>
          <w:p w14:paraId="1C3A6701" w14:textId="77777777" w:rsidR="00E265AE" w:rsidRPr="00F047E1" w:rsidRDefault="00E265AE" w:rsidP="00F46923">
            <w:pPr>
              <w:jc w:val="center"/>
              <w:rPr>
                <w:rFonts w:ascii="Calibri" w:hAnsi="Calibri" w:cs="Calibri"/>
                <w:b/>
                <w:sz w:val="20"/>
                <w:szCs w:val="20"/>
              </w:rPr>
            </w:pPr>
            <w:r w:rsidRPr="00F047E1">
              <w:rPr>
                <w:rFonts w:ascii="Calibri" w:hAnsi="Calibri" w:cs="Calibri"/>
                <w:b/>
                <w:sz w:val="20"/>
                <w:szCs w:val="20"/>
              </w:rPr>
              <w:t>Peer</w:t>
            </w:r>
          </w:p>
          <w:p w14:paraId="078E46A4" w14:textId="77777777" w:rsidR="00E265AE" w:rsidRPr="00F047E1" w:rsidRDefault="00E265AE" w:rsidP="00F46923">
            <w:pPr>
              <w:jc w:val="center"/>
              <w:rPr>
                <w:rFonts w:ascii="Calibri" w:hAnsi="Calibri" w:cs="Calibri"/>
                <w:b/>
                <w:sz w:val="20"/>
                <w:szCs w:val="20"/>
              </w:rPr>
            </w:pPr>
            <w:r w:rsidRPr="00F047E1">
              <w:rPr>
                <w:rFonts w:ascii="Calibri" w:hAnsi="Calibri" w:cs="Calibri"/>
                <w:b/>
                <w:sz w:val="20"/>
                <w:szCs w:val="20"/>
              </w:rPr>
              <w:t>Staff</w:t>
            </w:r>
          </w:p>
        </w:tc>
        <w:tc>
          <w:tcPr>
            <w:tcW w:w="1170" w:type="dxa"/>
          </w:tcPr>
          <w:p w14:paraId="7838BAAC" w14:textId="77777777" w:rsidR="00E265AE" w:rsidRPr="00F047E1" w:rsidRDefault="00E265AE" w:rsidP="00F46923">
            <w:pPr>
              <w:jc w:val="center"/>
              <w:rPr>
                <w:rFonts w:ascii="Calibri" w:hAnsi="Calibri" w:cs="Calibri"/>
                <w:b/>
                <w:sz w:val="20"/>
                <w:szCs w:val="20"/>
              </w:rPr>
            </w:pPr>
            <w:r w:rsidRPr="00F047E1">
              <w:rPr>
                <w:rFonts w:ascii="Calibri" w:hAnsi="Calibri" w:cs="Calibri"/>
                <w:b/>
                <w:sz w:val="20"/>
                <w:szCs w:val="20"/>
              </w:rPr>
              <w:t xml:space="preserve">Support </w:t>
            </w:r>
            <w:r w:rsidRPr="00F047E1">
              <w:rPr>
                <w:rFonts w:ascii="Calibri" w:hAnsi="Calibri" w:cs="Calibri"/>
                <w:b/>
                <w:sz w:val="20"/>
                <w:szCs w:val="20"/>
              </w:rPr>
              <w:br/>
              <w:t>Staff</w:t>
            </w:r>
          </w:p>
        </w:tc>
        <w:tc>
          <w:tcPr>
            <w:tcW w:w="1350" w:type="dxa"/>
          </w:tcPr>
          <w:p w14:paraId="335E420F" w14:textId="77777777" w:rsidR="00E265AE" w:rsidRPr="00F047E1" w:rsidRDefault="00E265AE" w:rsidP="00F46923">
            <w:pPr>
              <w:jc w:val="center"/>
              <w:rPr>
                <w:rFonts w:ascii="Calibri" w:hAnsi="Calibri" w:cs="Calibri"/>
                <w:b/>
                <w:sz w:val="20"/>
                <w:szCs w:val="20"/>
              </w:rPr>
            </w:pPr>
            <w:r w:rsidRPr="00F047E1">
              <w:rPr>
                <w:rFonts w:ascii="Calibri" w:hAnsi="Calibri" w:cs="Calibri"/>
                <w:b/>
                <w:sz w:val="20"/>
                <w:szCs w:val="20"/>
              </w:rPr>
              <w:t xml:space="preserve">Total </w:t>
            </w:r>
          </w:p>
          <w:p w14:paraId="421910BE" w14:textId="77777777" w:rsidR="00E265AE" w:rsidRPr="00F047E1" w:rsidRDefault="00E265AE" w:rsidP="00F46923">
            <w:pPr>
              <w:jc w:val="center"/>
              <w:rPr>
                <w:rFonts w:ascii="Calibri" w:hAnsi="Calibri" w:cs="Calibri"/>
                <w:b/>
                <w:sz w:val="20"/>
                <w:szCs w:val="20"/>
              </w:rPr>
            </w:pPr>
            <w:r w:rsidRPr="00F047E1">
              <w:rPr>
                <w:rFonts w:ascii="Calibri" w:hAnsi="Calibri" w:cs="Calibri"/>
                <w:b/>
                <w:sz w:val="20"/>
                <w:szCs w:val="20"/>
              </w:rPr>
              <w:t>Staff</w:t>
            </w:r>
          </w:p>
        </w:tc>
      </w:tr>
      <w:tr w:rsidR="00E265AE" w:rsidRPr="00844F6D" w14:paraId="2597C527" w14:textId="77777777" w:rsidTr="00A61A4B">
        <w:trPr>
          <w:trHeight w:val="89"/>
          <w:jc w:val="center"/>
        </w:trPr>
        <w:tc>
          <w:tcPr>
            <w:tcW w:w="9360" w:type="dxa"/>
            <w:gridSpan w:val="5"/>
            <w:shd w:val="clear" w:color="auto" w:fill="D9D9D9" w:themeFill="background1" w:themeFillShade="D9"/>
          </w:tcPr>
          <w:p w14:paraId="6F9E43B1" w14:textId="310DEB49" w:rsidR="00E265AE" w:rsidRPr="00F047E1" w:rsidRDefault="00E60D88" w:rsidP="00F46923">
            <w:pPr>
              <w:rPr>
                <w:rFonts w:ascii="Calibri" w:hAnsi="Calibri" w:cs="Calibri"/>
                <w:sz w:val="18"/>
                <w:szCs w:val="18"/>
              </w:rPr>
            </w:pPr>
            <w:r>
              <w:rPr>
                <w:rFonts w:ascii="Calibri" w:hAnsi="Calibri" w:cs="Calibri"/>
                <w:sz w:val="18"/>
                <w:szCs w:val="18"/>
              </w:rPr>
              <w:t xml:space="preserve">DBHDS </w:t>
            </w:r>
            <w:r w:rsidR="00E265AE" w:rsidRPr="00F047E1">
              <w:rPr>
                <w:rFonts w:ascii="Calibri" w:hAnsi="Calibri" w:cs="Calibri"/>
                <w:sz w:val="18"/>
                <w:szCs w:val="18"/>
              </w:rPr>
              <w:t>Staff</w:t>
            </w:r>
          </w:p>
        </w:tc>
      </w:tr>
      <w:tr w:rsidR="00E265AE" w:rsidRPr="00844F6D" w14:paraId="6B1A18F5" w14:textId="77777777" w:rsidTr="00A61A4B">
        <w:trPr>
          <w:jc w:val="center"/>
        </w:trPr>
        <w:tc>
          <w:tcPr>
            <w:tcW w:w="4590" w:type="dxa"/>
          </w:tcPr>
          <w:p w14:paraId="4A7339B7" w14:textId="77777777" w:rsidR="00E265AE" w:rsidRPr="00F047E1" w:rsidRDefault="00E265AE" w:rsidP="00F46923">
            <w:pPr>
              <w:rPr>
                <w:rFonts w:ascii="Calibri" w:hAnsi="Calibri" w:cs="Calibri"/>
                <w:sz w:val="20"/>
                <w:szCs w:val="20"/>
              </w:rPr>
            </w:pPr>
            <w:r w:rsidRPr="00F047E1">
              <w:rPr>
                <w:rFonts w:ascii="Calibri" w:hAnsi="Calibri" w:cs="Calibri"/>
                <w:sz w:val="20"/>
                <w:szCs w:val="20"/>
              </w:rPr>
              <w:t xml:space="preserve">DBHDS Central Office (CO) </w:t>
            </w:r>
          </w:p>
        </w:tc>
        <w:tc>
          <w:tcPr>
            <w:tcW w:w="1260" w:type="dxa"/>
            <w:vAlign w:val="center"/>
          </w:tcPr>
          <w:p w14:paraId="417A056F" w14:textId="7F366334" w:rsidR="00E265AE" w:rsidRPr="009B5509" w:rsidRDefault="003A6F22" w:rsidP="00F46923">
            <w:pPr>
              <w:jc w:val="right"/>
              <w:rPr>
                <w:rFonts w:ascii="Calibri" w:hAnsi="Calibri" w:cs="Calibri"/>
                <w:sz w:val="20"/>
                <w:szCs w:val="20"/>
              </w:rPr>
            </w:pPr>
            <w:r w:rsidRPr="009B5509">
              <w:rPr>
                <w:rFonts w:ascii="Calibri" w:hAnsi="Calibri" w:cs="Calibri"/>
                <w:sz w:val="20"/>
                <w:szCs w:val="20"/>
              </w:rPr>
              <w:t>22</w:t>
            </w:r>
          </w:p>
        </w:tc>
        <w:tc>
          <w:tcPr>
            <w:tcW w:w="990" w:type="dxa"/>
            <w:vAlign w:val="center"/>
          </w:tcPr>
          <w:p w14:paraId="012F5902" w14:textId="6488C1F1" w:rsidR="00E265AE" w:rsidRPr="009B5509" w:rsidRDefault="003A6F22" w:rsidP="00F46923">
            <w:pPr>
              <w:jc w:val="right"/>
              <w:rPr>
                <w:rFonts w:ascii="Calibri" w:hAnsi="Calibri" w:cs="Calibri"/>
                <w:sz w:val="20"/>
                <w:szCs w:val="20"/>
              </w:rPr>
            </w:pPr>
            <w:r w:rsidRPr="009B5509">
              <w:rPr>
                <w:rFonts w:ascii="Calibri" w:hAnsi="Calibri" w:cs="Calibri"/>
                <w:sz w:val="20"/>
                <w:szCs w:val="20"/>
              </w:rPr>
              <w:t>2</w:t>
            </w:r>
          </w:p>
        </w:tc>
        <w:tc>
          <w:tcPr>
            <w:tcW w:w="1170" w:type="dxa"/>
            <w:vAlign w:val="center"/>
          </w:tcPr>
          <w:p w14:paraId="10764180" w14:textId="25F18F8E" w:rsidR="00E265AE" w:rsidRPr="009B5509" w:rsidRDefault="003A6F22" w:rsidP="00F46923">
            <w:pPr>
              <w:jc w:val="right"/>
              <w:rPr>
                <w:rFonts w:ascii="Calibri" w:hAnsi="Calibri" w:cs="Calibri"/>
                <w:sz w:val="20"/>
                <w:szCs w:val="20"/>
              </w:rPr>
            </w:pPr>
            <w:r w:rsidRPr="009B5509">
              <w:rPr>
                <w:rFonts w:ascii="Calibri" w:hAnsi="Calibri" w:cs="Calibri"/>
                <w:sz w:val="20"/>
                <w:szCs w:val="20"/>
              </w:rPr>
              <w:t>497</w:t>
            </w:r>
          </w:p>
        </w:tc>
        <w:tc>
          <w:tcPr>
            <w:tcW w:w="1350" w:type="dxa"/>
            <w:vAlign w:val="center"/>
          </w:tcPr>
          <w:p w14:paraId="23BB7F94" w14:textId="63963F2F" w:rsidR="00E265AE" w:rsidRPr="009B5509" w:rsidRDefault="003A6F22" w:rsidP="00F46923">
            <w:pPr>
              <w:jc w:val="right"/>
              <w:rPr>
                <w:rFonts w:ascii="Calibri" w:hAnsi="Calibri" w:cs="Calibri"/>
                <w:sz w:val="20"/>
                <w:szCs w:val="20"/>
              </w:rPr>
            </w:pPr>
            <w:r w:rsidRPr="009B5509">
              <w:rPr>
                <w:rFonts w:ascii="Calibri" w:hAnsi="Calibri" w:cs="Calibri"/>
                <w:sz w:val="20"/>
                <w:szCs w:val="20"/>
              </w:rPr>
              <w:t>521</w:t>
            </w:r>
          </w:p>
        </w:tc>
      </w:tr>
      <w:tr w:rsidR="00E265AE" w:rsidRPr="00844F6D" w14:paraId="5AE37FEE" w14:textId="77777777" w:rsidTr="00A61A4B">
        <w:trPr>
          <w:jc w:val="center"/>
        </w:trPr>
        <w:tc>
          <w:tcPr>
            <w:tcW w:w="4590" w:type="dxa"/>
          </w:tcPr>
          <w:p w14:paraId="633C5C6F" w14:textId="77777777" w:rsidR="00E265AE" w:rsidRPr="00F047E1" w:rsidRDefault="00E265AE" w:rsidP="00F46923">
            <w:pPr>
              <w:rPr>
                <w:rFonts w:ascii="Calibri" w:hAnsi="Calibri" w:cs="Calibri"/>
                <w:sz w:val="20"/>
                <w:szCs w:val="20"/>
              </w:rPr>
            </w:pPr>
            <w:r w:rsidRPr="00F047E1">
              <w:rPr>
                <w:rFonts w:ascii="Calibri" w:hAnsi="Calibri" w:cs="Calibri"/>
                <w:sz w:val="20"/>
                <w:szCs w:val="20"/>
              </w:rPr>
              <w:t>State Hospitals</w:t>
            </w:r>
          </w:p>
        </w:tc>
        <w:tc>
          <w:tcPr>
            <w:tcW w:w="1260" w:type="dxa"/>
            <w:vAlign w:val="center"/>
          </w:tcPr>
          <w:p w14:paraId="1DB30670" w14:textId="13AD5F32" w:rsidR="00E265AE" w:rsidRPr="009B5509" w:rsidRDefault="003A6F22" w:rsidP="00F46923">
            <w:pPr>
              <w:jc w:val="right"/>
              <w:rPr>
                <w:rFonts w:ascii="Calibri" w:hAnsi="Calibri" w:cs="Calibri"/>
                <w:sz w:val="20"/>
                <w:szCs w:val="20"/>
              </w:rPr>
            </w:pPr>
            <w:r w:rsidRPr="009B5509">
              <w:rPr>
                <w:rFonts w:ascii="Calibri" w:hAnsi="Calibri" w:cs="Calibri"/>
                <w:sz w:val="20"/>
                <w:szCs w:val="20"/>
              </w:rPr>
              <w:t>1,994</w:t>
            </w:r>
          </w:p>
        </w:tc>
        <w:tc>
          <w:tcPr>
            <w:tcW w:w="990" w:type="dxa"/>
            <w:vAlign w:val="center"/>
          </w:tcPr>
          <w:p w14:paraId="780AB0AE" w14:textId="7D29B0F7" w:rsidR="00E265AE" w:rsidRPr="009B5509" w:rsidRDefault="003A6F22" w:rsidP="00F46923">
            <w:pPr>
              <w:jc w:val="right"/>
              <w:rPr>
                <w:rFonts w:ascii="Calibri" w:hAnsi="Calibri" w:cs="Calibri"/>
                <w:sz w:val="20"/>
                <w:szCs w:val="20"/>
              </w:rPr>
            </w:pPr>
            <w:r w:rsidRPr="009B5509">
              <w:rPr>
                <w:rFonts w:ascii="Calibri" w:hAnsi="Calibri" w:cs="Calibri"/>
                <w:sz w:val="20"/>
                <w:szCs w:val="20"/>
              </w:rPr>
              <w:t>6</w:t>
            </w:r>
          </w:p>
        </w:tc>
        <w:tc>
          <w:tcPr>
            <w:tcW w:w="1170" w:type="dxa"/>
            <w:vAlign w:val="center"/>
          </w:tcPr>
          <w:p w14:paraId="4D28F3AE" w14:textId="70D2229E" w:rsidR="00E265AE" w:rsidRPr="009B5509" w:rsidRDefault="003A6F22" w:rsidP="00F46923">
            <w:pPr>
              <w:jc w:val="right"/>
              <w:rPr>
                <w:rFonts w:ascii="Calibri" w:hAnsi="Calibri" w:cs="Calibri"/>
                <w:sz w:val="20"/>
                <w:szCs w:val="20"/>
              </w:rPr>
            </w:pPr>
            <w:r w:rsidRPr="009B5509">
              <w:rPr>
                <w:rFonts w:ascii="Calibri" w:hAnsi="Calibri" w:cs="Calibri"/>
                <w:sz w:val="20"/>
                <w:szCs w:val="20"/>
              </w:rPr>
              <w:t>1,494</w:t>
            </w:r>
          </w:p>
        </w:tc>
        <w:tc>
          <w:tcPr>
            <w:tcW w:w="1350" w:type="dxa"/>
            <w:vAlign w:val="center"/>
          </w:tcPr>
          <w:p w14:paraId="3719266A" w14:textId="616B3ACD" w:rsidR="00E265AE" w:rsidRPr="009B5509" w:rsidRDefault="003A6F22" w:rsidP="00F46923">
            <w:pPr>
              <w:jc w:val="right"/>
              <w:rPr>
                <w:rFonts w:ascii="Calibri" w:hAnsi="Calibri" w:cs="Calibri"/>
                <w:sz w:val="20"/>
                <w:szCs w:val="20"/>
              </w:rPr>
            </w:pPr>
            <w:r w:rsidRPr="009B5509">
              <w:rPr>
                <w:rFonts w:ascii="Calibri" w:hAnsi="Calibri" w:cs="Calibri"/>
                <w:sz w:val="20"/>
                <w:szCs w:val="20"/>
              </w:rPr>
              <w:t>3,495</w:t>
            </w:r>
          </w:p>
        </w:tc>
      </w:tr>
      <w:tr w:rsidR="00E265AE" w:rsidRPr="00844F6D" w14:paraId="646C8577" w14:textId="77777777" w:rsidTr="00A61A4B">
        <w:trPr>
          <w:jc w:val="center"/>
        </w:trPr>
        <w:tc>
          <w:tcPr>
            <w:tcW w:w="4590" w:type="dxa"/>
          </w:tcPr>
          <w:p w14:paraId="64AFBBFA" w14:textId="77777777" w:rsidR="00E265AE" w:rsidRPr="00F047E1" w:rsidRDefault="00E265AE" w:rsidP="00F46923">
            <w:pPr>
              <w:rPr>
                <w:rFonts w:ascii="Calibri" w:hAnsi="Calibri" w:cs="Calibri"/>
                <w:sz w:val="20"/>
                <w:szCs w:val="20"/>
              </w:rPr>
            </w:pPr>
            <w:r w:rsidRPr="00F047E1">
              <w:rPr>
                <w:rFonts w:ascii="Calibri" w:hAnsi="Calibri" w:cs="Calibri"/>
                <w:sz w:val="20"/>
                <w:szCs w:val="20"/>
              </w:rPr>
              <w:t>Training Centers</w:t>
            </w:r>
          </w:p>
        </w:tc>
        <w:tc>
          <w:tcPr>
            <w:tcW w:w="1260" w:type="dxa"/>
            <w:vAlign w:val="center"/>
          </w:tcPr>
          <w:p w14:paraId="44CB62F3" w14:textId="43030D09" w:rsidR="00E265AE" w:rsidRPr="009B5509" w:rsidRDefault="003A6F22" w:rsidP="00F46923">
            <w:pPr>
              <w:jc w:val="right"/>
              <w:rPr>
                <w:rFonts w:ascii="Calibri" w:hAnsi="Calibri" w:cs="Calibri"/>
                <w:sz w:val="20"/>
                <w:szCs w:val="20"/>
              </w:rPr>
            </w:pPr>
            <w:r w:rsidRPr="009B5509">
              <w:rPr>
                <w:rFonts w:ascii="Calibri" w:hAnsi="Calibri" w:cs="Calibri"/>
                <w:sz w:val="20"/>
                <w:szCs w:val="20"/>
              </w:rPr>
              <w:t>194</w:t>
            </w:r>
          </w:p>
        </w:tc>
        <w:tc>
          <w:tcPr>
            <w:tcW w:w="990" w:type="dxa"/>
            <w:vAlign w:val="center"/>
          </w:tcPr>
          <w:p w14:paraId="499FEB27" w14:textId="6717EC55" w:rsidR="00E265AE" w:rsidRPr="009B5509" w:rsidRDefault="003A6F22" w:rsidP="00F46923">
            <w:pPr>
              <w:jc w:val="right"/>
              <w:rPr>
                <w:rFonts w:ascii="Calibri" w:hAnsi="Calibri" w:cs="Calibri"/>
                <w:sz w:val="20"/>
                <w:szCs w:val="20"/>
              </w:rPr>
            </w:pPr>
            <w:r w:rsidRPr="009B5509">
              <w:rPr>
                <w:rFonts w:ascii="Calibri" w:hAnsi="Calibri" w:cs="Calibri"/>
                <w:sz w:val="20"/>
                <w:szCs w:val="20"/>
              </w:rPr>
              <w:t>0</w:t>
            </w:r>
          </w:p>
        </w:tc>
        <w:tc>
          <w:tcPr>
            <w:tcW w:w="1170" w:type="dxa"/>
            <w:vAlign w:val="center"/>
          </w:tcPr>
          <w:p w14:paraId="170D2012" w14:textId="70A4D887" w:rsidR="00E265AE" w:rsidRPr="009B5509" w:rsidRDefault="003A6F22" w:rsidP="00F46923">
            <w:pPr>
              <w:jc w:val="right"/>
              <w:rPr>
                <w:rFonts w:ascii="Calibri" w:hAnsi="Calibri" w:cs="Calibri"/>
                <w:sz w:val="20"/>
                <w:szCs w:val="20"/>
              </w:rPr>
            </w:pPr>
            <w:r w:rsidRPr="009B5509">
              <w:rPr>
                <w:rFonts w:ascii="Calibri" w:hAnsi="Calibri" w:cs="Calibri"/>
                <w:sz w:val="20"/>
                <w:szCs w:val="20"/>
              </w:rPr>
              <w:t>93</w:t>
            </w:r>
          </w:p>
        </w:tc>
        <w:tc>
          <w:tcPr>
            <w:tcW w:w="1350" w:type="dxa"/>
            <w:vAlign w:val="center"/>
          </w:tcPr>
          <w:p w14:paraId="6D941167" w14:textId="5023C397" w:rsidR="00E265AE" w:rsidRPr="009B5509" w:rsidRDefault="003A6F22" w:rsidP="00F46923">
            <w:pPr>
              <w:jc w:val="right"/>
              <w:rPr>
                <w:rFonts w:ascii="Calibri" w:hAnsi="Calibri" w:cs="Calibri"/>
                <w:sz w:val="20"/>
                <w:szCs w:val="20"/>
              </w:rPr>
            </w:pPr>
            <w:r w:rsidRPr="009B5509">
              <w:rPr>
                <w:rFonts w:ascii="Calibri" w:hAnsi="Calibri" w:cs="Calibri"/>
                <w:sz w:val="20"/>
                <w:szCs w:val="20"/>
              </w:rPr>
              <w:t>286</w:t>
            </w:r>
          </w:p>
        </w:tc>
      </w:tr>
      <w:tr w:rsidR="00E265AE" w:rsidRPr="00844F6D" w14:paraId="4D0B19DC" w14:textId="77777777" w:rsidTr="00A61A4B">
        <w:trPr>
          <w:jc w:val="center"/>
        </w:trPr>
        <w:tc>
          <w:tcPr>
            <w:tcW w:w="4590" w:type="dxa"/>
          </w:tcPr>
          <w:p w14:paraId="3249198C" w14:textId="77777777" w:rsidR="00E265AE" w:rsidRPr="00F047E1" w:rsidRDefault="00E265AE" w:rsidP="00F46923">
            <w:pPr>
              <w:rPr>
                <w:rFonts w:ascii="Calibri" w:hAnsi="Calibri" w:cs="Calibri"/>
                <w:sz w:val="20"/>
                <w:szCs w:val="20"/>
              </w:rPr>
            </w:pPr>
            <w:r w:rsidRPr="00F047E1">
              <w:rPr>
                <w:rFonts w:ascii="Calibri" w:hAnsi="Calibri" w:cs="Calibri"/>
                <w:sz w:val="20"/>
                <w:szCs w:val="20"/>
              </w:rPr>
              <w:t>HDMC</w:t>
            </w:r>
          </w:p>
        </w:tc>
        <w:tc>
          <w:tcPr>
            <w:tcW w:w="1260" w:type="dxa"/>
            <w:vAlign w:val="center"/>
          </w:tcPr>
          <w:p w14:paraId="3965D83E" w14:textId="400DBB00" w:rsidR="00E265AE" w:rsidRPr="009B5509" w:rsidRDefault="003A6F22" w:rsidP="00F46923">
            <w:pPr>
              <w:jc w:val="right"/>
              <w:rPr>
                <w:rFonts w:ascii="Calibri" w:hAnsi="Calibri" w:cs="Calibri"/>
                <w:sz w:val="20"/>
                <w:szCs w:val="20"/>
              </w:rPr>
            </w:pPr>
            <w:r w:rsidRPr="009B5509">
              <w:rPr>
                <w:rFonts w:ascii="Calibri" w:hAnsi="Calibri" w:cs="Calibri"/>
                <w:sz w:val="20"/>
                <w:szCs w:val="20"/>
              </w:rPr>
              <w:t>119</w:t>
            </w:r>
          </w:p>
        </w:tc>
        <w:tc>
          <w:tcPr>
            <w:tcW w:w="990" w:type="dxa"/>
            <w:vAlign w:val="center"/>
          </w:tcPr>
          <w:p w14:paraId="132587D6" w14:textId="69CBBE0C" w:rsidR="00E265AE" w:rsidRPr="009B5509" w:rsidRDefault="003A6F22" w:rsidP="00F46923">
            <w:pPr>
              <w:jc w:val="right"/>
              <w:rPr>
                <w:rFonts w:ascii="Calibri" w:hAnsi="Calibri" w:cs="Calibri"/>
                <w:sz w:val="20"/>
                <w:szCs w:val="20"/>
              </w:rPr>
            </w:pPr>
            <w:r w:rsidRPr="009B5509">
              <w:rPr>
                <w:rFonts w:ascii="Calibri" w:hAnsi="Calibri" w:cs="Calibri"/>
                <w:sz w:val="20"/>
                <w:szCs w:val="20"/>
              </w:rPr>
              <w:t>1</w:t>
            </w:r>
          </w:p>
        </w:tc>
        <w:tc>
          <w:tcPr>
            <w:tcW w:w="1170" w:type="dxa"/>
            <w:vAlign w:val="center"/>
          </w:tcPr>
          <w:p w14:paraId="21D8D0E5" w14:textId="5DE9686D" w:rsidR="00E265AE" w:rsidRPr="009B5509" w:rsidRDefault="003A6F22" w:rsidP="00F46923">
            <w:pPr>
              <w:jc w:val="right"/>
              <w:rPr>
                <w:rFonts w:ascii="Calibri" w:hAnsi="Calibri" w:cs="Calibri"/>
                <w:sz w:val="20"/>
                <w:szCs w:val="20"/>
              </w:rPr>
            </w:pPr>
            <w:r w:rsidRPr="009B5509">
              <w:rPr>
                <w:rFonts w:ascii="Calibri" w:hAnsi="Calibri" w:cs="Calibri"/>
                <w:sz w:val="20"/>
                <w:szCs w:val="20"/>
              </w:rPr>
              <w:t>31</w:t>
            </w:r>
          </w:p>
        </w:tc>
        <w:tc>
          <w:tcPr>
            <w:tcW w:w="1350" w:type="dxa"/>
            <w:vAlign w:val="center"/>
          </w:tcPr>
          <w:p w14:paraId="15D2A4DB" w14:textId="561F2585" w:rsidR="00E265AE" w:rsidRPr="009B5509" w:rsidRDefault="003A6F22" w:rsidP="00F46923">
            <w:pPr>
              <w:jc w:val="right"/>
              <w:rPr>
                <w:rFonts w:ascii="Calibri" w:hAnsi="Calibri" w:cs="Calibri"/>
                <w:sz w:val="20"/>
                <w:szCs w:val="20"/>
              </w:rPr>
            </w:pPr>
            <w:r w:rsidRPr="009B5509">
              <w:rPr>
                <w:rFonts w:ascii="Calibri" w:hAnsi="Calibri" w:cs="Calibri"/>
                <w:sz w:val="20"/>
                <w:szCs w:val="20"/>
              </w:rPr>
              <w:t>150</w:t>
            </w:r>
          </w:p>
        </w:tc>
      </w:tr>
      <w:tr w:rsidR="00E265AE" w:rsidRPr="00844F6D" w14:paraId="2DD10BD3" w14:textId="77777777" w:rsidTr="00A61A4B">
        <w:trPr>
          <w:jc w:val="center"/>
        </w:trPr>
        <w:tc>
          <w:tcPr>
            <w:tcW w:w="4590" w:type="dxa"/>
          </w:tcPr>
          <w:p w14:paraId="3DEBDE85" w14:textId="77777777" w:rsidR="00E265AE" w:rsidRPr="00F047E1" w:rsidRDefault="00E265AE" w:rsidP="00F46923">
            <w:pPr>
              <w:rPr>
                <w:rFonts w:ascii="Calibri" w:hAnsi="Calibri" w:cs="Calibri"/>
                <w:sz w:val="20"/>
                <w:szCs w:val="20"/>
              </w:rPr>
            </w:pPr>
            <w:r w:rsidRPr="00F047E1">
              <w:rPr>
                <w:rFonts w:ascii="Calibri" w:hAnsi="Calibri" w:cs="Calibri"/>
                <w:sz w:val="20"/>
                <w:szCs w:val="20"/>
              </w:rPr>
              <w:t xml:space="preserve">VCBR </w:t>
            </w:r>
          </w:p>
        </w:tc>
        <w:tc>
          <w:tcPr>
            <w:tcW w:w="1260" w:type="dxa"/>
            <w:vAlign w:val="center"/>
          </w:tcPr>
          <w:p w14:paraId="1CC466BD" w14:textId="6CB40C88" w:rsidR="00E265AE" w:rsidRPr="009B5509" w:rsidRDefault="003A6F22" w:rsidP="00F46923">
            <w:pPr>
              <w:jc w:val="right"/>
              <w:rPr>
                <w:rFonts w:ascii="Calibri" w:hAnsi="Calibri" w:cs="Calibri"/>
                <w:sz w:val="20"/>
                <w:szCs w:val="20"/>
              </w:rPr>
            </w:pPr>
            <w:r w:rsidRPr="009B5509">
              <w:rPr>
                <w:rFonts w:ascii="Calibri" w:hAnsi="Calibri" w:cs="Calibri"/>
                <w:sz w:val="20"/>
                <w:szCs w:val="20"/>
              </w:rPr>
              <w:t>328</w:t>
            </w:r>
          </w:p>
        </w:tc>
        <w:tc>
          <w:tcPr>
            <w:tcW w:w="990" w:type="dxa"/>
            <w:vAlign w:val="center"/>
          </w:tcPr>
          <w:p w14:paraId="35A63302" w14:textId="50F2278D" w:rsidR="00E265AE" w:rsidRPr="009B5509" w:rsidRDefault="003A6F22" w:rsidP="00F46923">
            <w:pPr>
              <w:jc w:val="right"/>
              <w:rPr>
                <w:rFonts w:ascii="Calibri" w:hAnsi="Calibri" w:cs="Calibri"/>
                <w:sz w:val="20"/>
                <w:szCs w:val="20"/>
              </w:rPr>
            </w:pPr>
            <w:r w:rsidRPr="009B5509">
              <w:rPr>
                <w:rFonts w:ascii="Calibri" w:hAnsi="Calibri" w:cs="Calibri"/>
                <w:sz w:val="20"/>
                <w:szCs w:val="20"/>
              </w:rPr>
              <w:t>108</w:t>
            </w:r>
          </w:p>
        </w:tc>
        <w:tc>
          <w:tcPr>
            <w:tcW w:w="1170" w:type="dxa"/>
            <w:vAlign w:val="center"/>
          </w:tcPr>
          <w:p w14:paraId="43FF9F1B" w14:textId="70193F88" w:rsidR="00E265AE" w:rsidRPr="009B5509" w:rsidRDefault="003A6F22" w:rsidP="00F46923">
            <w:pPr>
              <w:jc w:val="right"/>
              <w:rPr>
                <w:rFonts w:ascii="Calibri" w:hAnsi="Calibri" w:cs="Calibri"/>
                <w:sz w:val="20"/>
                <w:szCs w:val="20"/>
              </w:rPr>
            </w:pPr>
            <w:r w:rsidRPr="009B5509">
              <w:rPr>
                <w:rFonts w:ascii="Calibri" w:hAnsi="Calibri" w:cs="Calibri"/>
                <w:sz w:val="20"/>
                <w:szCs w:val="20"/>
              </w:rPr>
              <w:t>24</w:t>
            </w:r>
          </w:p>
        </w:tc>
        <w:tc>
          <w:tcPr>
            <w:tcW w:w="1350" w:type="dxa"/>
            <w:vAlign w:val="center"/>
          </w:tcPr>
          <w:p w14:paraId="40879E4F" w14:textId="54D1649B" w:rsidR="00E265AE" w:rsidRPr="009B5509" w:rsidRDefault="003A6F22" w:rsidP="00F46923">
            <w:pPr>
              <w:jc w:val="right"/>
              <w:rPr>
                <w:rFonts w:ascii="Calibri" w:hAnsi="Calibri" w:cs="Calibri"/>
                <w:sz w:val="20"/>
                <w:szCs w:val="20"/>
              </w:rPr>
            </w:pPr>
            <w:r w:rsidRPr="009B5509">
              <w:rPr>
                <w:rFonts w:ascii="Calibri" w:hAnsi="Calibri" w:cs="Calibri"/>
                <w:sz w:val="20"/>
                <w:szCs w:val="20"/>
              </w:rPr>
              <w:t>460</w:t>
            </w:r>
          </w:p>
        </w:tc>
      </w:tr>
      <w:tr w:rsidR="00E265AE" w:rsidRPr="00844F6D" w14:paraId="74A905B5" w14:textId="77777777" w:rsidTr="00A61A4B">
        <w:trPr>
          <w:jc w:val="center"/>
        </w:trPr>
        <w:tc>
          <w:tcPr>
            <w:tcW w:w="4590" w:type="dxa"/>
          </w:tcPr>
          <w:p w14:paraId="47BF704C" w14:textId="1D4DE97A" w:rsidR="00E265AE" w:rsidRPr="00F047E1" w:rsidRDefault="00E265AE" w:rsidP="00F46923">
            <w:pPr>
              <w:rPr>
                <w:rFonts w:ascii="Calibri" w:hAnsi="Calibri" w:cs="Calibri"/>
                <w:b/>
                <w:sz w:val="20"/>
                <w:szCs w:val="20"/>
              </w:rPr>
            </w:pPr>
            <w:r w:rsidRPr="00F047E1">
              <w:rPr>
                <w:rFonts w:ascii="Calibri" w:hAnsi="Calibri" w:cs="Calibri"/>
                <w:b/>
                <w:sz w:val="20"/>
                <w:szCs w:val="20"/>
              </w:rPr>
              <w:t>Total State Hospital and Center and CO</w:t>
            </w:r>
            <w:r w:rsidR="003A6F22">
              <w:rPr>
                <w:rFonts w:ascii="Calibri" w:hAnsi="Calibri" w:cs="Calibri"/>
                <w:b/>
                <w:sz w:val="20"/>
                <w:szCs w:val="20"/>
              </w:rPr>
              <w:t xml:space="preserve"> 2022</w:t>
            </w:r>
          </w:p>
        </w:tc>
        <w:tc>
          <w:tcPr>
            <w:tcW w:w="1260" w:type="dxa"/>
            <w:vAlign w:val="center"/>
          </w:tcPr>
          <w:p w14:paraId="1643FADD" w14:textId="43F10770" w:rsidR="00E265AE" w:rsidRPr="009B5509" w:rsidRDefault="003A6F22" w:rsidP="00F46923">
            <w:pPr>
              <w:jc w:val="right"/>
              <w:rPr>
                <w:rFonts w:ascii="Calibri" w:hAnsi="Calibri" w:cs="Calibri"/>
                <w:b/>
                <w:sz w:val="20"/>
                <w:szCs w:val="20"/>
              </w:rPr>
            </w:pPr>
            <w:r w:rsidRPr="009B5509">
              <w:rPr>
                <w:rFonts w:ascii="Calibri" w:hAnsi="Calibri" w:cs="Calibri"/>
                <w:b/>
                <w:sz w:val="20"/>
                <w:szCs w:val="20"/>
              </w:rPr>
              <w:t>2,656</w:t>
            </w:r>
          </w:p>
        </w:tc>
        <w:tc>
          <w:tcPr>
            <w:tcW w:w="990" w:type="dxa"/>
            <w:vAlign w:val="center"/>
          </w:tcPr>
          <w:p w14:paraId="48FBAF4D" w14:textId="4561669D" w:rsidR="00E265AE" w:rsidRPr="009B5509" w:rsidRDefault="003A6F22" w:rsidP="00F46923">
            <w:pPr>
              <w:jc w:val="right"/>
              <w:rPr>
                <w:rFonts w:ascii="Calibri" w:hAnsi="Calibri" w:cs="Calibri"/>
                <w:b/>
                <w:sz w:val="20"/>
                <w:szCs w:val="20"/>
              </w:rPr>
            </w:pPr>
            <w:r w:rsidRPr="009B5509">
              <w:rPr>
                <w:rFonts w:ascii="Calibri" w:hAnsi="Calibri" w:cs="Calibri"/>
                <w:b/>
                <w:sz w:val="20"/>
                <w:szCs w:val="20"/>
              </w:rPr>
              <w:t>116</w:t>
            </w:r>
          </w:p>
        </w:tc>
        <w:tc>
          <w:tcPr>
            <w:tcW w:w="1170" w:type="dxa"/>
            <w:vAlign w:val="center"/>
          </w:tcPr>
          <w:p w14:paraId="7A80ED98" w14:textId="69B24D8D" w:rsidR="00E265AE" w:rsidRPr="009B5509" w:rsidRDefault="003A6F22" w:rsidP="00F46923">
            <w:pPr>
              <w:jc w:val="right"/>
              <w:rPr>
                <w:rFonts w:ascii="Calibri" w:hAnsi="Calibri" w:cs="Calibri"/>
                <w:b/>
                <w:sz w:val="20"/>
                <w:szCs w:val="20"/>
              </w:rPr>
            </w:pPr>
            <w:r w:rsidRPr="009B5509">
              <w:rPr>
                <w:rFonts w:ascii="Calibri" w:hAnsi="Calibri" w:cs="Calibri"/>
                <w:b/>
                <w:sz w:val="20"/>
                <w:szCs w:val="20"/>
              </w:rPr>
              <w:t>2,138</w:t>
            </w:r>
          </w:p>
        </w:tc>
        <w:tc>
          <w:tcPr>
            <w:tcW w:w="1350" w:type="dxa"/>
            <w:vAlign w:val="center"/>
          </w:tcPr>
          <w:p w14:paraId="3F27CB24" w14:textId="6E464EAA" w:rsidR="00E265AE" w:rsidRPr="009B5509" w:rsidRDefault="003A6F22" w:rsidP="00F46923">
            <w:pPr>
              <w:jc w:val="right"/>
              <w:rPr>
                <w:rFonts w:ascii="Calibri" w:hAnsi="Calibri" w:cs="Calibri"/>
                <w:b/>
                <w:sz w:val="20"/>
                <w:szCs w:val="20"/>
              </w:rPr>
            </w:pPr>
            <w:r w:rsidRPr="009B5509">
              <w:rPr>
                <w:rFonts w:ascii="Calibri" w:hAnsi="Calibri" w:cs="Calibri"/>
                <w:b/>
                <w:sz w:val="20"/>
                <w:szCs w:val="20"/>
              </w:rPr>
              <w:t>4,912</w:t>
            </w:r>
          </w:p>
        </w:tc>
      </w:tr>
      <w:tr w:rsidR="00E60D88" w:rsidRPr="00844F6D" w14:paraId="1B698300" w14:textId="77777777" w:rsidTr="003C6B09">
        <w:trPr>
          <w:trHeight w:val="41"/>
          <w:jc w:val="center"/>
        </w:trPr>
        <w:tc>
          <w:tcPr>
            <w:tcW w:w="9360" w:type="dxa"/>
            <w:gridSpan w:val="5"/>
            <w:shd w:val="clear" w:color="auto" w:fill="D9D9D9" w:themeFill="background1" w:themeFillShade="D9"/>
          </w:tcPr>
          <w:p w14:paraId="29256A3E" w14:textId="155B4334" w:rsidR="00E60D88" w:rsidRPr="009B5509" w:rsidRDefault="00E60D88" w:rsidP="00E60D88">
            <w:pPr>
              <w:rPr>
                <w:rFonts w:ascii="Calibri" w:hAnsi="Calibri" w:cs="Calibri"/>
                <w:sz w:val="20"/>
                <w:szCs w:val="20"/>
              </w:rPr>
            </w:pPr>
            <w:r w:rsidRPr="009B5509">
              <w:rPr>
                <w:rFonts w:ascii="Calibri" w:hAnsi="Calibri" w:cs="Calibri"/>
                <w:sz w:val="20"/>
                <w:szCs w:val="20"/>
              </w:rPr>
              <w:t>CSB Staff</w:t>
            </w:r>
          </w:p>
        </w:tc>
      </w:tr>
      <w:tr w:rsidR="003A6F22" w:rsidRPr="00844F6D" w14:paraId="4C5E8E93" w14:textId="77777777" w:rsidTr="00A61A4B">
        <w:trPr>
          <w:jc w:val="center"/>
        </w:trPr>
        <w:tc>
          <w:tcPr>
            <w:tcW w:w="4590" w:type="dxa"/>
          </w:tcPr>
          <w:p w14:paraId="39D34C80" w14:textId="77777777" w:rsidR="003A6F22" w:rsidRPr="00F047E1" w:rsidRDefault="003A6F22" w:rsidP="003A6F22">
            <w:pPr>
              <w:rPr>
                <w:rFonts w:ascii="Calibri" w:hAnsi="Calibri" w:cs="Calibri"/>
                <w:sz w:val="20"/>
                <w:szCs w:val="20"/>
              </w:rPr>
            </w:pPr>
            <w:r w:rsidRPr="00F047E1">
              <w:rPr>
                <w:rFonts w:ascii="Calibri" w:hAnsi="Calibri" w:cs="Calibri"/>
                <w:sz w:val="20"/>
                <w:szCs w:val="20"/>
              </w:rPr>
              <w:t>CSB Mental Health Services</w:t>
            </w:r>
          </w:p>
        </w:tc>
        <w:tc>
          <w:tcPr>
            <w:tcW w:w="1260" w:type="dxa"/>
            <w:vAlign w:val="bottom"/>
          </w:tcPr>
          <w:p w14:paraId="7A2A987F" w14:textId="658127AC"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4,316 </w:t>
            </w:r>
          </w:p>
        </w:tc>
        <w:tc>
          <w:tcPr>
            <w:tcW w:w="990" w:type="dxa"/>
            <w:vAlign w:val="bottom"/>
          </w:tcPr>
          <w:p w14:paraId="4F2943B6" w14:textId="4913FD49"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137 </w:t>
            </w:r>
          </w:p>
        </w:tc>
        <w:tc>
          <w:tcPr>
            <w:tcW w:w="1170" w:type="dxa"/>
            <w:vAlign w:val="bottom"/>
          </w:tcPr>
          <w:p w14:paraId="7D177574" w14:textId="22B7130A"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770 </w:t>
            </w:r>
          </w:p>
        </w:tc>
        <w:tc>
          <w:tcPr>
            <w:tcW w:w="1350" w:type="dxa"/>
            <w:vAlign w:val="bottom"/>
          </w:tcPr>
          <w:p w14:paraId="0801E944" w14:textId="6EC10F3B"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5,223 </w:t>
            </w:r>
          </w:p>
        </w:tc>
      </w:tr>
      <w:tr w:rsidR="003A6F22" w:rsidRPr="00844F6D" w14:paraId="7B3FD901" w14:textId="77777777" w:rsidTr="00A61A4B">
        <w:trPr>
          <w:jc w:val="center"/>
        </w:trPr>
        <w:tc>
          <w:tcPr>
            <w:tcW w:w="4590" w:type="dxa"/>
          </w:tcPr>
          <w:p w14:paraId="62907212" w14:textId="77777777" w:rsidR="003A6F22" w:rsidRPr="00F047E1" w:rsidRDefault="003A6F22" w:rsidP="003A6F22">
            <w:pPr>
              <w:rPr>
                <w:rFonts w:ascii="Calibri" w:hAnsi="Calibri" w:cs="Calibri"/>
                <w:sz w:val="20"/>
                <w:szCs w:val="20"/>
              </w:rPr>
            </w:pPr>
            <w:r w:rsidRPr="00F047E1">
              <w:rPr>
                <w:rFonts w:ascii="Calibri" w:hAnsi="Calibri" w:cs="Calibri"/>
                <w:sz w:val="20"/>
                <w:szCs w:val="20"/>
              </w:rPr>
              <w:t xml:space="preserve">CSB Developmental Services </w:t>
            </w:r>
          </w:p>
        </w:tc>
        <w:tc>
          <w:tcPr>
            <w:tcW w:w="1260" w:type="dxa"/>
            <w:vAlign w:val="bottom"/>
          </w:tcPr>
          <w:p w14:paraId="5A75001E" w14:textId="1593E33C"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3,276 </w:t>
            </w:r>
          </w:p>
        </w:tc>
        <w:tc>
          <w:tcPr>
            <w:tcW w:w="990" w:type="dxa"/>
            <w:vAlign w:val="bottom"/>
          </w:tcPr>
          <w:p w14:paraId="55926819" w14:textId="2FF3C89C"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2 </w:t>
            </w:r>
          </w:p>
        </w:tc>
        <w:tc>
          <w:tcPr>
            <w:tcW w:w="1170" w:type="dxa"/>
            <w:vAlign w:val="bottom"/>
          </w:tcPr>
          <w:p w14:paraId="6CB061D1" w14:textId="3660E065"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405 </w:t>
            </w:r>
          </w:p>
        </w:tc>
        <w:tc>
          <w:tcPr>
            <w:tcW w:w="1350" w:type="dxa"/>
            <w:vAlign w:val="bottom"/>
          </w:tcPr>
          <w:p w14:paraId="45A58DDB" w14:textId="7544E2E3"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3,683 </w:t>
            </w:r>
          </w:p>
        </w:tc>
      </w:tr>
      <w:tr w:rsidR="003A6F22" w:rsidRPr="00844F6D" w14:paraId="0890CD79" w14:textId="77777777" w:rsidTr="00A61A4B">
        <w:trPr>
          <w:jc w:val="center"/>
        </w:trPr>
        <w:tc>
          <w:tcPr>
            <w:tcW w:w="4590" w:type="dxa"/>
          </w:tcPr>
          <w:p w14:paraId="5B750262" w14:textId="77777777" w:rsidR="003A6F22" w:rsidRPr="00F047E1" w:rsidRDefault="003A6F22" w:rsidP="003A6F22">
            <w:pPr>
              <w:rPr>
                <w:rFonts w:ascii="Calibri" w:hAnsi="Calibri" w:cs="Calibri"/>
                <w:sz w:val="20"/>
                <w:szCs w:val="20"/>
              </w:rPr>
            </w:pPr>
            <w:r w:rsidRPr="00F047E1">
              <w:rPr>
                <w:rFonts w:ascii="Calibri" w:hAnsi="Calibri" w:cs="Calibri"/>
                <w:sz w:val="20"/>
                <w:szCs w:val="20"/>
              </w:rPr>
              <w:t>CSB Substance Use Disorder Service</w:t>
            </w:r>
          </w:p>
        </w:tc>
        <w:tc>
          <w:tcPr>
            <w:tcW w:w="1260" w:type="dxa"/>
            <w:vAlign w:val="bottom"/>
          </w:tcPr>
          <w:p w14:paraId="32E94FBB" w14:textId="62C75EFC"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1,180 </w:t>
            </w:r>
          </w:p>
        </w:tc>
        <w:tc>
          <w:tcPr>
            <w:tcW w:w="990" w:type="dxa"/>
            <w:vAlign w:val="bottom"/>
          </w:tcPr>
          <w:p w14:paraId="3BA48284" w14:textId="3EF67206"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127 </w:t>
            </w:r>
          </w:p>
        </w:tc>
        <w:tc>
          <w:tcPr>
            <w:tcW w:w="1170" w:type="dxa"/>
            <w:vAlign w:val="bottom"/>
          </w:tcPr>
          <w:p w14:paraId="312FC3AB" w14:textId="58BA7AEF"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293 </w:t>
            </w:r>
          </w:p>
        </w:tc>
        <w:tc>
          <w:tcPr>
            <w:tcW w:w="1350" w:type="dxa"/>
            <w:vAlign w:val="bottom"/>
          </w:tcPr>
          <w:p w14:paraId="10723610" w14:textId="6CCFA6F4"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1,600 </w:t>
            </w:r>
          </w:p>
        </w:tc>
      </w:tr>
      <w:tr w:rsidR="003A6F22" w:rsidRPr="00844F6D" w14:paraId="18513C32" w14:textId="77777777" w:rsidTr="00A61A4B">
        <w:trPr>
          <w:jc w:val="center"/>
        </w:trPr>
        <w:tc>
          <w:tcPr>
            <w:tcW w:w="4590" w:type="dxa"/>
          </w:tcPr>
          <w:p w14:paraId="36273D46" w14:textId="77777777" w:rsidR="003A6F22" w:rsidRPr="00F047E1" w:rsidRDefault="003A6F22" w:rsidP="003A6F22">
            <w:pPr>
              <w:rPr>
                <w:rFonts w:ascii="Calibri" w:hAnsi="Calibri" w:cs="Calibri"/>
                <w:sz w:val="20"/>
                <w:szCs w:val="20"/>
              </w:rPr>
            </w:pPr>
            <w:r w:rsidRPr="00F047E1">
              <w:rPr>
                <w:rFonts w:ascii="Calibri" w:hAnsi="Calibri" w:cs="Calibri"/>
                <w:sz w:val="20"/>
                <w:szCs w:val="20"/>
              </w:rPr>
              <w:t>CSB Emergency &amp; Ancillary Service</w:t>
            </w:r>
          </w:p>
        </w:tc>
        <w:tc>
          <w:tcPr>
            <w:tcW w:w="1260" w:type="dxa"/>
            <w:vAlign w:val="bottom"/>
          </w:tcPr>
          <w:p w14:paraId="1A66879D" w14:textId="0873EFE8"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1,077 </w:t>
            </w:r>
          </w:p>
        </w:tc>
        <w:tc>
          <w:tcPr>
            <w:tcW w:w="990" w:type="dxa"/>
            <w:vAlign w:val="bottom"/>
          </w:tcPr>
          <w:p w14:paraId="6A6D5C10" w14:textId="51C4E834"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48 </w:t>
            </w:r>
          </w:p>
        </w:tc>
        <w:tc>
          <w:tcPr>
            <w:tcW w:w="1170" w:type="dxa"/>
            <w:vAlign w:val="bottom"/>
          </w:tcPr>
          <w:p w14:paraId="0071BD57" w14:textId="45BFC365"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144 </w:t>
            </w:r>
          </w:p>
        </w:tc>
        <w:tc>
          <w:tcPr>
            <w:tcW w:w="1350" w:type="dxa"/>
            <w:vAlign w:val="bottom"/>
          </w:tcPr>
          <w:p w14:paraId="267958D2" w14:textId="4F939BDF"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1,269 </w:t>
            </w:r>
          </w:p>
        </w:tc>
      </w:tr>
      <w:tr w:rsidR="003A6F22" w:rsidRPr="00844F6D" w14:paraId="28530F2F" w14:textId="77777777" w:rsidTr="00A61A4B">
        <w:trPr>
          <w:jc w:val="center"/>
        </w:trPr>
        <w:tc>
          <w:tcPr>
            <w:tcW w:w="4590" w:type="dxa"/>
          </w:tcPr>
          <w:p w14:paraId="7F7F0936" w14:textId="77777777" w:rsidR="003A6F22" w:rsidRPr="00F047E1" w:rsidRDefault="003A6F22" w:rsidP="003A6F22">
            <w:pPr>
              <w:rPr>
                <w:rFonts w:ascii="Calibri" w:hAnsi="Calibri" w:cs="Calibri"/>
                <w:sz w:val="20"/>
                <w:szCs w:val="20"/>
              </w:rPr>
            </w:pPr>
            <w:r w:rsidRPr="00F047E1">
              <w:rPr>
                <w:rFonts w:ascii="Calibri" w:hAnsi="Calibri" w:cs="Calibri"/>
                <w:sz w:val="20"/>
                <w:szCs w:val="20"/>
              </w:rPr>
              <w:t xml:space="preserve">CSB Administration </w:t>
            </w:r>
          </w:p>
        </w:tc>
        <w:tc>
          <w:tcPr>
            <w:tcW w:w="1260" w:type="dxa"/>
            <w:vAlign w:val="bottom"/>
          </w:tcPr>
          <w:p w14:paraId="47916A45" w14:textId="2536E0A1"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0 </w:t>
            </w:r>
          </w:p>
        </w:tc>
        <w:tc>
          <w:tcPr>
            <w:tcW w:w="990" w:type="dxa"/>
            <w:vAlign w:val="bottom"/>
          </w:tcPr>
          <w:p w14:paraId="30A6AEDC" w14:textId="4F5C62B9"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0 </w:t>
            </w:r>
          </w:p>
        </w:tc>
        <w:tc>
          <w:tcPr>
            <w:tcW w:w="1170" w:type="dxa"/>
            <w:vAlign w:val="bottom"/>
          </w:tcPr>
          <w:p w14:paraId="058F06F1" w14:textId="7F723281"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1,622 </w:t>
            </w:r>
          </w:p>
        </w:tc>
        <w:tc>
          <w:tcPr>
            <w:tcW w:w="1350" w:type="dxa"/>
            <w:vAlign w:val="bottom"/>
          </w:tcPr>
          <w:p w14:paraId="5B09F6EF" w14:textId="3B232D74"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sz w:val="20"/>
                <w:szCs w:val="20"/>
              </w:rPr>
              <w:t>1,622 </w:t>
            </w:r>
          </w:p>
        </w:tc>
      </w:tr>
      <w:tr w:rsidR="003A6F22" w:rsidRPr="00844F6D" w14:paraId="5F584E49" w14:textId="77777777" w:rsidTr="00A61A4B">
        <w:trPr>
          <w:jc w:val="center"/>
        </w:trPr>
        <w:tc>
          <w:tcPr>
            <w:tcW w:w="4590" w:type="dxa"/>
          </w:tcPr>
          <w:p w14:paraId="157A482E" w14:textId="2DA58496" w:rsidR="003A6F22" w:rsidRPr="00F047E1" w:rsidRDefault="003A6F22" w:rsidP="003A6F22">
            <w:pPr>
              <w:rPr>
                <w:rFonts w:ascii="Calibri" w:hAnsi="Calibri" w:cs="Calibri"/>
                <w:b/>
                <w:sz w:val="20"/>
                <w:szCs w:val="20"/>
              </w:rPr>
            </w:pPr>
            <w:r w:rsidRPr="00F047E1">
              <w:rPr>
                <w:rFonts w:ascii="Calibri" w:hAnsi="Calibri" w:cs="Calibri"/>
                <w:b/>
                <w:sz w:val="20"/>
                <w:szCs w:val="20"/>
              </w:rPr>
              <w:t>Total CSB</w:t>
            </w:r>
            <w:r>
              <w:rPr>
                <w:rFonts w:ascii="Calibri" w:hAnsi="Calibri" w:cs="Calibri"/>
                <w:b/>
                <w:sz w:val="20"/>
                <w:szCs w:val="20"/>
              </w:rPr>
              <w:t xml:space="preserve"> 2022</w:t>
            </w:r>
          </w:p>
        </w:tc>
        <w:tc>
          <w:tcPr>
            <w:tcW w:w="1260" w:type="dxa"/>
            <w:vAlign w:val="bottom"/>
          </w:tcPr>
          <w:p w14:paraId="0F2FD8D7" w14:textId="54DB9F1D"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b/>
                <w:sz w:val="20"/>
                <w:szCs w:val="20"/>
              </w:rPr>
              <w:t>9,849 </w:t>
            </w:r>
          </w:p>
        </w:tc>
        <w:tc>
          <w:tcPr>
            <w:tcW w:w="990" w:type="dxa"/>
            <w:vAlign w:val="bottom"/>
          </w:tcPr>
          <w:p w14:paraId="399E7890" w14:textId="23A435D2"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b/>
                <w:sz w:val="20"/>
                <w:szCs w:val="20"/>
              </w:rPr>
              <w:t>314 </w:t>
            </w:r>
          </w:p>
        </w:tc>
        <w:tc>
          <w:tcPr>
            <w:tcW w:w="1170" w:type="dxa"/>
            <w:vAlign w:val="bottom"/>
          </w:tcPr>
          <w:p w14:paraId="0F83F898" w14:textId="5B088A9A"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b/>
                <w:sz w:val="20"/>
                <w:szCs w:val="20"/>
              </w:rPr>
              <w:t>3,235 </w:t>
            </w:r>
          </w:p>
        </w:tc>
        <w:tc>
          <w:tcPr>
            <w:tcW w:w="1350" w:type="dxa"/>
            <w:vAlign w:val="bottom"/>
          </w:tcPr>
          <w:p w14:paraId="54E48F3F" w14:textId="502BCB4D" w:rsidR="003A6F22" w:rsidRPr="009B5509" w:rsidRDefault="003A6F22" w:rsidP="003A6F22">
            <w:pPr>
              <w:jc w:val="right"/>
              <w:rPr>
                <w:rFonts w:asciiTheme="minorHAnsi" w:hAnsiTheme="minorHAnsi" w:cstheme="minorHAnsi"/>
                <w:sz w:val="20"/>
                <w:szCs w:val="20"/>
              </w:rPr>
            </w:pPr>
            <w:r w:rsidRPr="009B5509">
              <w:rPr>
                <w:rFonts w:asciiTheme="minorHAnsi" w:hAnsiTheme="minorHAnsi" w:cstheme="minorHAnsi"/>
                <w:b/>
                <w:sz w:val="20"/>
                <w:szCs w:val="20"/>
              </w:rPr>
              <w:t>13,397 </w:t>
            </w:r>
          </w:p>
        </w:tc>
      </w:tr>
    </w:tbl>
    <w:p w14:paraId="32DDC91A" w14:textId="77777777" w:rsidR="00E265AE" w:rsidRPr="00EC76CD" w:rsidRDefault="00E265AE" w:rsidP="00F46923">
      <w:pPr>
        <w:rPr>
          <w:i/>
          <w:sz w:val="18"/>
          <w:szCs w:val="18"/>
        </w:rPr>
      </w:pPr>
      <w:r w:rsidRPr="00EC76CD">
        <w:rPr>
          <w:b/>
          <w:i/>
          <w:sz w:val="18"/>
          <w:szCs w:val="18"/>
        </w:rPr>
        <w:t xml:space="preserve">Notes: </w:t>
      </w:r>
      <w:r w:rsidRPr="00EC76CD">
        <w:rPr>
          <w:i/>
          <w:sz w:val="18"/>
          <w:szCs w:val="18"/>
        </w:rPr>
        <w:t>A full-time equivalent is not the same as a position; a 20-hour/week part-time position is one position but ½ FTE. FTEs are a more accurate indicator of available personnel resources. Peer staff receive or have received services and are employed as peers to deliver services. Only FTEs in programs CSBs directly operate are included; contract agencies are not represented.</w:t>
      </w:r>
    </w:p>
    <w:p w14:paraId="0178AE1C" w14:textId="77777777" w:rsidR="00E265AE" w:rsidRPr="003D6438" w:rsidRDefault="00E265AE" w:rsidP="00F46923">
      <w:pPr>
        <w:rPr>
          <w:b/>
          <w:i/>
          <w:sz w:val="18"/>
          <w:szCs w:val="18"/>
          <w:highlight w:val="cyan"/>
        </w:rPr>
      </w:pPr>
    </w:p>
    <w:p w14:paraId="0DBC1C7A" w14:textId="77777777" w:rsidR="00E265AE" w:rsidRDefault="00E265AE" w:rsidP="00F46923">
      <w:pPr>
        <w:shd w:val="clear" w:color="auto" w:fill="FFFFFF"/>
        <w:rPr>
          <w:b/>
          <w:bCs/>
          <w:color w:val="222222"/>
        </w:rPr>
      </w:pPr>
    </w:p>
    <w:p w14:paraId="049D1F8F" w14:textId="77777777" w:rsidR="00E265AE" w:rsidRDefault="00E265AE" w:rsidP="00F46923">
      <w:pPr>
        <w:rPr>
          <w:b/>
          <w:sz w:val="32"/>
          <w:szCs w:val="32"/>
        </w:rPr>
      </w:pPr>
      <w:r w:rsidRPr="003F642B">
        <w:rPr>
          <w:b/>
          <w:sz w:val="32"/>
          <w:szCs w:val="32"/>
        </w:rPr>
        <w:t xml:space="preserve">Funds Received by CSBs and </w:t>
      </w:r>
      <w:r>
        <w:rPr>
          <w:b/>
          <w:sz w:val="32"/>
          <w:szCs w:val="32"/>
        </w:rPr>
        <w:t>DBHDS</w:t>
      </w:r>
    </w:p>
    <w:p w14:paraId="72ABA947" w14:textId="58D569FB" w:rsidR="006B0E3D" w:rsidRDefault="00E265AE" w:rsidP="00F46923">
      <w:r w:rsidRPr="00DE5AC9">
        <w:t>Figure</w:t>
      </w:r>
      <w:r>
        <w:t xml:space="preserve"> 16, below, displays funds received for CSBs, state facilities, and the central office by type and the respective percentages. Fees include Medicaid payments, which cons</w:t>
      </w:r>
      <w:r w:rsidR="00844F6D">
        <w:t>ist of federal and state funds.</w:t>
      </w:r>
      <w:r>
        <w:t xml:space="preserve"> DBHDS submits a report on Part C services to the General Assembly.</w:t>
      </w:r>
      <w:r w:rsidR="006B0E3D">
        <w:br/>
      </w:r>
    </w:p>
    <w:p w14:paraId="5187C4CC" w14:textId="6095B05B" w:rsidR="006B0E3D" w:rsidRDefault="006B0E3D" w:rsidP="006B0E3D">
      <w:pPr>
        <w:jc w:val="center"/>
      </w:pPr>
      <w:r w:rsidRPr="007833B3">
        <w:rPr>
          <w:noProof/>
        </w:rPr>
        <w:drawing>
          <wp:inline distT="0" distB="0" distL="0" distR="0" wp14:anchorId="699B82A0" wp14:editId="568719D5">
            <wp:extent cx="4705350" cy="2352675"/>
            <wp:effectExtent l="0" t="0" r="0" b="0"/>
            <wp:docPr id="1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462439" w14:textId="77777777" w:rsidR="00E265AE" w:rsidRPr="00685F68" w:rsidRDefault="00E265AE" w:rsidP="00F46923">
      <w:pPr>
        <w:rPr>
          <w:b/>
          <w:sz w:val="10"/>
          <w:szCs w:val="10"/>
        </w:rPr>
      </w:pPr>
    </w:p>
    <w:p w14:paraId="45E86A7F" w14:textId="64D839E3" w:rsidR="00E265AE" w:rsidRDefault="00E265AE" w:rsidP="00F46923">
      <w:pPr>
        <w:spacing w:after="180"/>
        <w:jc w:val="center"/>
      </w:pPr>
    </w:p>
    <w:p w14:paraId="004A6CBF" w14:textId="42C064C9" w:rsidR="00E265AE" w:rsidRDefault="00E265AE" w:rsidP="00F46923">
      <w:r>
        <w:t xml:space="preserve">Figure 17, below, depicts funds in the publicly operated behavioral health and developmental services system for CSBs, state facilities, and the central office and the respective percentages.  </w:t>
      </w:r>
    </w:p>
    <w:p w14:paraId="423A905C" w14:textId="73738138" w:rsidR="00E265AE" w:rsidRPr="00DB2DC2" w:rsidRDefault="00E265AE" w:rsidP="00F46923">
      <w:pPr>
        <w:rPr>
          <w:color w:val="FF0000"/>
          <w:sz w:val="6"/>
          <w:szCs w:val="6"/>
        </w:rPr>
      </w:pPr>
    </w:p>
    <w:p w14:paraId="313148D1" w14:textId="4AC33CFC" w:rsidR="006B0E3D" w:rsidRPr="003B0788" w:rsidRDefault="006B0E3D" w:rsidP="006B0E3D">
      <w:pPr>
        <w:jc w:val="center"/>
        <w:rPr>
          <w:color w:val="FF0000"/>
        </w:rPr>
      </w:pPr>
      <w:r>
        <w:rPr>
          <w:noProof/>
        </w:rPr>
        <w:drawing>
          <wp:inline distT="0" distB="0" distL="0" distR="0" wp14:anchorId="3F077F31" wp14:editId="4EEF9935">
            <wp:extent cx="4724400" cy="2543175"/>
            <wp:effectExtent l="0" t="0" r="0" b="0"/>
            <wp:docPr id="9"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6AB3598" w14:textId="6F0966E6" w:rsidR="00E265AE" w:rsidRDefault="00E265AE" w:rsidP="00F46923">
      <w:r>
        <w:t xml:space="preserve">Figures 18 and 19, below, display the specific amounts of funds from all sources reported by </w:t>
      </w:r>
      <w:r w:rsidRPr="009C1A14">
        <w:t xml:space="preserve">CSBs </w:t>
      </w:r>
      <w:r>
        <w:t>and s</w:t>
      </w:r>
      <w:r w:rsidR="00B72DF5">
        <w:t>tate facilities. For the CSBs, l</w:t>
      </w:r>
      <w:r>
        <w:t>ocal funds include local government appropriations, charitable donatio</w:t>
      </w:r>
      <w:r w:rsidR="00844F6D">
        <w:t xml:space="preserve">ns, and in-kind contributions. </w:t>
      </w:r>
      <w:r>
        <w:t xml:space="preserve">The 133 cities or counties that established the 40 CSBs provide the overwhelming share of local funds.  Fees include Medicaid, Medicare, and private insurance payments </w:t>
      </w:r>
      <w:r w:rsidR="00844F6D">
        <w:t xml:space="preserve">and payments from individuals. </w:t>
      </w:r>
      <w:r>
        <w:t>Other funds include workshop sales, retained earnings, and one-time funds.</w:t>
      </w:r>
    </w:p>
    <w:p w14:paraId="4133D924" w14:textId="77777777" w:rsidR="00E265AE" w:rsidRDefault="00E265AE" w:rsidP="00F46923"/>
    <w:tbl>
      <w:tblPr>
        <w:tblW w:w="936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 w:type="dxa"/>
          <w:right w:w="14" w:type="dxa"/>
        </w:tblCellMar>
        <w:tblLook w:val="00A0" w:firstRow="1" w:lastRow="0" w:firstColumn="1" w:lastColumn="0" w:noHBand="0" w:noVBand="0"/>
      </w:tblPr>
      <w:tblGrid>
        <w:gridCol w:w="1723"/>
        <w:gridCol w:w="1599"/>
        <w:gridCol w:w="1611"/>
        <w:gridCol w:w="1817"/>
        <w:gridCol w:w="1615"/>
        <w:gridCol w:w="995"/>
      </w:tblGrid>
      <w:tr w:rsidR="00E265AE" w:rsidRPr="00844F6D" w14:paraId="06EBE4AB" w14:textId="77777777" w:rsidTr="00A61A4B">
        <w:trPr>
          <w:jc w:val="center"/>
        </w:trPr>
        <w:tc>
          <w:tcPr>
            <w:tcW w:w="9360" w:type="dxa"/>
            <w:gridSpan w:val="6"/>
          </w:tcPr>
          <w:p w14:paraId="7D1E1A82" w14:textId="77B26D6A" w:rsidR="00E265AE" w:rsidRPr="00F047E1" w:rsidRDefault="00E265AE" w:rsidP="00F46923">
            <w:pPr>
              <w:jc w:val="center"/>
              <w:rPr>
                <w:rFonts w:ascii="Calibri" w:hAnsi="Calibri" w:cs="Calibri"/>
                <w:b/>
                <w:sz w:val="20"/>
                <w:szCs w:val="20"/>
              </w:rPr>
            </w:pPr>
            <w:r w:rsidRPr="00461F20">
              <w:rPr>
                <w:rFonts w:ascii="Calibri" w:hAnsi="Calibri" w:cs="Calibri"/>
                <w:b/>
                <w:sz w:val="20"/>
                <w:szCs w:val="20"/>
              </w:rPr>
              <w:t>Figure 18</w:t>
            </w:r>
            <w:r w:rsidRPr="00F047E1">
              <w:rPr>
                <w:rFonts w:ascii="Calibri" w:hAnsi="Calibri" w:cs="Calibri"/>
                <w:b/>
                <w:sz w:val="20"/>
                <w:szCs w:val="20"/>
              </w:rPr>
              <w:t>:  FY 202</w:t>
            </w:r>
            <w:r w:rsidR="00F815D5">
              <w:rPr>
                <w:rFonts w:ascii="Calibri" w:hAnsi="Calibri" w:cs="Calibri"/>
                <w:b/>
                <w:sz w:val="20"/>
                <w:szCs w:val="20"/>
              </w:rPr>
              <w:t>2</w:t>
            </w:r>
            <w:r w:rsidRPr="00F047E1">
              <w:rPr>
                <w:rFonts w:ascii="Calibri" w:hAnsi="Calibri" w:cs="Calibri"/>
                <w:b/>
                <w:sz w:val="20"/>
                <w:szCs w:val="20"/>
              </w:rPr>
              <w:t xml:space="preserve"> CSB Funds Received by Program Area</w:t>
            </w:r>
          </w:p>
        </w:tc>
      </w:tr>
      <w:tr w:rsidR="00E265AE" w:rsidRPr="00844F6D" w14:paraId="75876096" w14:textId="77777777" w:rsidTr="00A61A4B">
        <w:trPr>
          <w:jc w:val="center"/>
        </w:trPr>
        <w:tc>
          <w:tcPr>
            <w:tcW w:w="1723" w:type="dxa"/>
            <w:vAlign w:val="center"/>
          </w:tcPr>
          <w:p w14:paraId="22B015EA" w14:textId="77777777" w:rsidR="00E265AE" w:rsidRPr="00F047E1" w:rsidRDefault="00E265AE" w:rsidP="00F46923">
            <w:pPr>
              <w:jc w:val="center"/>
              <w:rPr>
                <w:rFonts w:ascii="Calibri" w:hAnsi="Calibri" w:cs="Calibri"/>
                <w:b/>
                <w:sz w:val="20"/>
                <w:szCs w:val="20"/>
              </w:rPr>
            </w:pPr>
            <w:r w:rsidRPr="00F047E1">
              <w:rPr>
                <w:rFonts w:ascii="Calibri" w:hAnsi="Calibri" w:cs="Calibri"/>
                <w:sz w:val="20"/>
                <w:szCs w:val="20"/>
              </w:rPr>
              <w:t>Funding Source</w:t>
            </w:r>
          </w:p>
        </w:tc>
        <w:tc>
          <w:tcPr>
            <w:tcW w:w="1599" w:type="dxa"/>
          </w:tcPr>
          <w:p w14:paraId="584588C6" w14:textId="77777777" w:rsidR="00E265AE" w:rsidRPr="00F047E1" w:rsidRDefault="00E265AE" w:rsidP="00F46923">
            <w:pPr>
              <w:jc w:val="center"/>
              <w:rPr>
                <w:rFonts w:ascii="Calibri" w:hAnsi="Calibri" w:cs="Calibri"/>
                <w:sz w:val="20"/>
                <w:szCs w:val="20"/>
              </w:rPr>
            </w:pPr>
            <w:r w:rsidRPr="00F047E1">
              <w:rPr>
                <w:rFonts w:ascii="Calibri" w:hAnsi="Calibri" w:cs="Calibri"/>
                <w:sz w:val="20"/>
                <w:szCs w:val="20"/>
              </w:rPr>
              <w:t>Mental Health</w:t>
            </w:r>
          </w:p>
          <w:p w14:paraId="7E9CFACE" w14:textId="77777777" w:rsidR="00E265AE" w:rsidRPr="00F047E1" w:rsidRDefault="00E265AE" w:rsidP="00F46923">
            <w:pPr>
              <w:jc w:val="center"/>
              <w:rPr>
                <w:rFonts w:ascii="Calibri" w:hAnsi="Calibri" w:cs="Calibri"/>
                <w:sz w:val="20"/>
                <w:szCs w:val="20"/>
              </w:rPr>
            </w:pPr>
            <w:r w:rsidRPr="00F047E1">
              <w:rPr>
                <w:rFonts w:ascii="Calibri" w:hAnsi="Calibri" w:cs="Calibri"/>
                <w:sz w:val="20"/>
                <w:szCs w:val="20"/>
              </w:rPr>
              <w:t>Services</w:t>
            </w:r>
          </w:p>
        </w:tc>
        <w:tc>
          <w:tcPr>
            <w:tcW w:w="1611" w:type="dxa"/>
          </w:tcPr>
          <w:p w14:paraId="674E99BC" w14:textId="77777777" w:rsidR="00E265AE" w:rsidRPr="00F047E1" w:rsidRDefault="00E265AE" w:rsidP="00F46923">
            <w:pPr>
              <w:jc w:val="center"/>
              <w:rPr>
                <w:rFonts w:ascii="Calibri" w:hAnsi="Calibri" w:cs="Calibri"/>
                <w:sz w:val="20"/>
                <w:szCs w:val="20"/>
              </w:rPr>
            </w:pPr>
            <w:r w:rsidRPr="00F047E1">
              <w:rPr>
                <w:rFonts w:ascii="Calibri" w:hAnsi="Calibri" w:cs="Calibri"/>
                <w:sz w:val="20"/>
                <w:szCs w:val="20"/>
              </w:rPr>
              <w:t>Developmental</w:t>
            </w:r>
          </w:p>
          <w:p w14:paraId="4D6CA686" w14:textId="77777777" w:rsidR="00E265AE" w:rsidRPr="00F047E1" w:rsidRDefault="00E265AE" w:rsidP="00F46923">
            <w:pPr>
              <w:jc w:val="center"/>
              <w:rPr>
                <w:rFonts w:ascii="Calibri" w:hAnsi="Calibri" w:cs="Calibri"/>
                <w:sz w:val="20"/>
                <w:szCs w:val="20"/>
              </w:rPr>
            </w:pPr>
            <w:r w:rsidRPr="00F047E1">
              <w:rPr>
                <w:rFonts w:ascii="Calibri" w:hAnsi="Calibri" w:cs="Calibri"/>
                <w:sz w:val="20"/>
                <w:szCs w:val="20"/>
              </w:rPr>
              <w:t>Services</w:t>
            </w:r>
          </w:p>
        </w:tc>
        <w:tc>
          <w:tcPr>
            <w:tcW w:w="1817" w:type="dxa"/>
          </w:tcPr>
          <w:p w14:paraId="5C3D4BBA" w14:textId="77777777" w:rsidR="00E265AE" w:rsidRPr="00F047E1" w:rsidRDefault="00E265AE" w:rsidP="00F46923">
            <w:pPr>
              <w:jc w:val="center"/>
              <w:rPr>
                <w:rFonts w:ascii="Calibri" w:hAnsi="Calibri" w:cs="Calibri"/>
                <w:sz w:val="20"/>
                <w:szCs w:val="20"/>
              </w:rPr>
            </w:pPr>
            <w:r w:rsidRPr="00F047E1">
              <w:rPr>
                <w:rFonts w:ascii="Calibri" w:hAnsi="Calibri" w:cs="Calibri"/>
                <w:sz w:val="20"/>
                <w:szCs w:val="20"/>
              </w:rPr>
              <w:t>Substance Use</w:t>
            </w:r>
          </w:p>
          <w:p w14:paraId="368F11BC" w14:textId="77777777" w:rsidR="00E265AE" w:rsidRPr="00F047E1" w:rsidRDefault="00E265AE" w:rsidP="00F46923">
            <w:pPr>
              <w:jc w:val="center"/>
              <w:rPr>
                <w:rFonts w:ascii="Calibri" w:hAnsi="Calibri" w:cs="Calibri"/>
                <w:sz w:val="20"/>
                <w:szCs w:val="20"/>
              </w:rPr>
            </w:pPr>
            <w:r w:rsidRPr="00F047E1">
              <w:rPr>
                <w:rFonts w:ascii="Calibri" w:hAnsi="Calibri" w:cs="Calibri"/>
                <w:sz w:val="20"/>
                <w:szCs w:val="20"/>
              </w:rPr>
              <w:t>Disorder Services</w:t>
            </w:r>
          </w:p>
        </w:tc>
        <w:tc>
          <w:tcPr>
            <w:tcW w:w="1615" w:type="dxa"/>
          </w:tcPr>
          <w:p w14:paraId="29A83A1B" w14:textId="77777777" w:rsidR="00E265AE" w:rsidRPr="00F047E1" w:rsidRDefault="00E265AE" w:rsidP="00F46923">
            <w:pPr>
              <w:jc w:val="center"/>
              <w:rPr>
                <w:rFonts w:ascii="Calibri" w:hAnsi="Calibri" w:cs="Calibri"/>
                <w:sz w:val="20"/>
                <w:szCs w:val="20"/>
              </w:rPr>
            </w:pPr>
            <w:r w:rsidRPr="00F047E1">
              <w:rPr>
                <w:rFonts w:ascii="Calibri" w:hAnsi="Calibri" w:cs="Calibri"/>
                <w:sz w:val="20"/>
                <w:szCs w:val="20"/>
              </w:rPr>
              <w:t>Total</w:t>
            </w:r>
          </w:p>
          <w:p w14:paraId="35C9EB5C" w14:textId="77777777" w:rsidR="00E265AE" w:rsidRPr="00F047E1" w:rsidRDefault="00E265AE" w:rsidP="00F46923">
            <w:pPr>
              <w:jc w:val="center"/>
              <w:rPr>
                <w:rFonts w:ascii="Calibri" w:hAnsi="Calibri" w:cs="Calibri"/>
                <w:sz w:val="20"/>
                <w:szCs w:val="20"/>
              </w:rPr>
            </w:pPr>
            <w:r w:rsidRPr="00F047E1">
              <w:rPr>
                <w:rFonts w:ascii="Calibri" w:hAnsi="Calibri" w:cs="Calibri"/>
                <w:sz w:val="20"/>
                <w:szCs w:val="20"/>
              </w:rPr>
              <w:t>Funds</w:t>
            </w:r>
          </w:p>
        </w:tc>
        <w:tc>
          <w:tcPr>
            <w:tcW w:w="995" w:type="dxa"/>
          </w:tcPr>
          <w:p w14:paraId="1E570230" w14:textId="77777777" w:rsidR="00E265AE" w:rsidRPr="00F047E1" w:rsidRDefault="00E265AE" w:rsidP="00F46923">
            <w:pPr>
              <w:jc w:val="center"/>
              <w:rPr>
                <w:rFonts w:ascii="Calibri" w:hAnsi="Calibri" w:cs="Calibri"/>
                <w:sz w:val="20"/>
                <w:szCs w:val="20"/>
              </w:rPr>
            </w:pPr>
            <w:r w:rsidRPr="00F047E1">
              <w:rPr>
                <w:rFonts w:ascii="Calibri" w:hAnsi="Calibri" w:cs="Calibri"/>
                <w:sz w:val="20"/>
                <w:szCs w:val="20"/>
              </w:rPr>
              <w:t>Percent</w:t>
            </w:r>
          </w:p>
          <w:p w14:paraId="0AFBB625" w14:textId="77777777" w:rsidR="00E265AE" w:rsidRPr="00F047E1" w:rsidRDefault="00E265AE" w:rsidP="00F46923">
            <w:pPr>
              <w:jc w:val="center"/>
              <w:rPr>
                <w:rFonts w:ascii="Calibri" w:hAnsi="Calibri" w:cs="Calibri"/>
                <w:sz w:val="20"/>
                <w:szCs w:val="20"/>
              </w:rPr>
            </w:pPr>
            <w:r w:rsidRPr="00F047E1">
              <w:rPr>
                <w:rFonts w:ascii="Calibri" w:hAnsi="Calibri" w:cs="Calibri"/>
                <w:sz w:val="20"/>
                <w:szCs w:val="20"/>
              </w:rPr>
              <w:t>of Total</w:t>
            </w:r>
          </w:p>
        </w:tc>
      </w:tr>
      <w:tr w:rsidR="009B5509" w:rsidRPr="009B5509" w14:paraId="029DADD3" w14:textId="77777777" w:rsidTr="00A61A4B">
        <w:trPr>
          <w:jc w:val="center"/>
        </w:trPr>
        <w:tc>
          <w:tcPr>
            <w:tcW w:w="1723" w:type="dxa"/>
          </w:tcPr>
          <w:p w14:paraId="65914EB4" w14:textId="77777777" w:rsidR="006B0E3D" w:rsidRPr="009B5509" w:rsidRDefault="006B0E3D" w:rsidP="006B0E3D">
            <w:pPr>
              <w:rPr>
                <w:rFonts w:ascii="Calibri" w:hAnsi="Calibri" w:cs="Calibri"/>
                <w:sz w:val="20"/>
                <w:szCs w:val="20"/>
              </w:rPr>
            </w:pPr>
            <w:r w:rsidRPr="009B5509">
              <w:rPr>
                <w:rFonts w:ascii="Calibri" w:hAnsi="Calibri" w:cs="Calibri"/>
                <w:sz w:val="20"/>
                <w:szCs w:val="20"/>
              </w:rPr>
              <w:t>State Funds</w:t>
            </w:r>
          </w:p>
        </w:tc>
        <w:tc>
          <w:tcPr>
            <w:tcW w:w="1599" w:type="dxa"/>
          </w:tcPr>
          <w:p w14:paraId="1285451B" w14:textId="57E44339"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$388,947,392</w:t>
            </w:r>
          </w:p>
        </w:tc>
        <w:tc>
          <w:tcPr>
            <w:tcW w:w="1611" w:type="dxa"/>
          </w:tcPr>
          <w:p w14:paraId="1DB8DE00" w14:textId="22CDC2C7"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$48,218,630</w:t>
            </w:r>
          </w:p>
        </w:tc>
        <w:tc>
          <w:tcPr>
            <w:tcW w:w="1817" w:type="dxa"/>
          </w:tcPr>
          <w:p w14:paraId="58295A86" w14:textId="432D79B9"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$65,718,028</w:t>
            </w:r>
          </w:p>
        </w:tc>
        <w:tc>
          <w:tcPr>
            <w:tcW w:w="1615" w:type="dxa"/>
          </w:tcPr>
          <w:p w14:paraId="4582AD2E" w14:textId="141D6343"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 xml:space="preserve">         $502,884,050</w:t>
            </w:r>
          </w:p>
        </w:tc>
        <w:tc>
          <w:tcPr>
            <w:tcW w:w="995" w:type="dxa"/>
          </w:tcPr>
          <w:p w14:paraId="413AAA22" w14:textId="2E2D7603"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32.72%</w:t>
            </w:r>
          </w:p>
        </w:tc>
      </w:tr>
      <w:tr w:rsidR="009B5509" w:rsidRPr="009B5509" w14:paraId="3A49C79D" w14:textId="77777777" w:rsidTr="00A61A4B">
        <w:trPr>
          <w:jc w:val="center"/>
        </w:trPr>
        <w:tc>
          <w:tcPr>
            <w:tcW w:w="1723" w:type="dxa"/>
          </w:tcPr>
          <w:p w14:paraId="76223876" w14:textId="77777777" w:rsidR="006B0E3D" w:rsidRPr="009B5509" w:rsidRDefault="006B0E3D" w:rsidP="006B0E3D">
            <w:pPr>
              <w:rPr>
                <w:rFonts w:ascii="Calibri" w:hAnsi="Calibri" w:cs="Calibri"/>
                <w:sz w:val="20"/>
                <w:szCs w:val="20"/>
              </w:rPr>
            </w:pPr>
            <w:r w:rsidRPr="009B5509">
              <w:rPr>
                <w:rFonts w:ascii="Calibri" w:hAnsi="Calibri" w:cs="Calibri"/>
                <w:sz w:val="20"/>
                <w:szCs w:val="20"/>
              </w:rPr>
              <w:t>Local Funds</w:t>
            </w:r>
          </w:p>
        </w:tc>
        <w:tc>
          <w:tcPr>
            <w:tcW w:w="1599" w:type="dxa"/>
          </w:tcPr>
          <w:p w14:paraId="19DD0BA5" w14:textId="408AA742"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$185,363,052</w:t>
            </w:r>
          </w:p>
        </w:tc>
        <w:tc>
          <w:tcPr>
            <w:tcW w:w="1611" w:type="dxa"/>
          </w:tcPr>
          <w:p w14:paraId="50147E66" w14:textId="767F61C4"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$116,113,485</w:t>
            </w:r>
          </w:p>
        </w:tc>
        <w:tc>
          <w:tcPr>
            <w:tcW w:w="1817" w:type="dxa"/>
          </w:tcPr>
          <w:p w14:paraId="3D41F781" w14:textId="36385F2B"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$47,934,409</w:t>
            </w:r>
          </w:p>
        </w:tc>
        <w:tc>
          <w:tcPr>
            <w:tcW w:w="1615" w:type="dxa"/>
          </w:tcPr>
          <w:p w14:paraId="26C0F1A6" w14:textId="5EB9C146" w:rsidR="006B0E3D" w:rsidRPr="009B5509" w:rsidRDefault="006B0E3D" w:rsidP="006B0E3D">
            <w:pPr>
              <w:tabs>
                <w:tab w:val="left" w:pos="1455"/>
                <w:tab w:val="right" w:pos="1592"/>
              </w:tabs>
              <w:jc w:val="right"/>
              <w:rPr>
                <w:rFonts w:ascii="Calibri" w:hAnsi="Calibri" w:cs="Calibri"/>
                <w:sz w:val="20"/>
                <w:szCs w:val="20"/>
              </w:rPr>
            </w:pPr>
            <w:r w:rsidRPr="009B5509">
              <w:rPr>
                <w:rFonts w:asciiTheme="minorHAnsi" w:hAnsiTheme="minorHAnsi" w:cstheme="minorHAnsi"/>
                <w:sz w:val="20"/>
                <w:szCs w:val="20"/>
              </w:rPr>
              <w:t xml:space="preserve">          $349,410,946</w:t>
            </w:r>
          </w:p>
        </w:tc>
        <w:tc>
          <w:tcPr>
            <w:tcW w:w="995" w:type="dxa"/>
          </w:tcPr>
          <w:p w14:paraId="5303225A" w14:textId="6B447313" w:rsidR="006B0E3D" w:rsidRPr="009B5509" w:rsidRDefault="006B0E3D" w:rsidP="006B0E3D">
            <w:pPr>
              <w:tabs>
                <w:tab w:val="center" w:pos="481"/>
                <w:tab w:val="right" w:pos="962"/>
              </w:tabs>
              <w:jc w:val="right"/>
              <w:rPr>
                <w:rFonts w:ascii="Calibri" w:hAnsi="Calibri" w:cs="Calibri"/>
                <w:sz w:val="20"/>
                <w:szCs w:val="20"/>
              </w:rPr>
            </w:pPr>
            <w:r w:rsidRPr="009B5509">
              <w:rPr>
                <w:rFonts w:asciiTheme="minorHAnsi" w:hAnsiTheme="minorHAnsi" w:cstheme="minorHAnsi"/>
                <w:sz w:val="20"/>
                <w:szCs w:val="20"/>
              </w:rPr>
              <w:t xml:space="preserve">        </w:t>
            </w:r>
            <w:r w:rsidRPr="009B5509">
              <w:rPr>
                <w:rFonts w:asciiTheme="minorHAnsi" w:hAnsiTheme="minorHAnsi" w:cstheme="minorHAnsi"/>
                <w:sz w:val="20"/>
                <w:szCs w:val="20"/>
              </w:rPr>
              <w:tab/>
              <w:t>22.74%</w:t>
            </w:r>
          </w:p>
        </w:tc>
      </w:tr>
      <w:tr w:rsidR="009B5509" w:rsidRPr="009B5509" w14:paraId="521865DA" w14:textId="77777777" w:rsidTr="00A61A4B">
        <w:trPr>
          <w:jc w:val="center"/>
        </w:trPr>
        <w:tc>
          <w:tcPr>
            <w:tcW w:w="1723" w:type="dxa"/>
          </w:tcPr>
          <w:p w14:paraId="3B7BA19C" w14:textId="77777777" w:rsidR="006B0E3D" w:rsidRPr="009B5509" w:rsidRDefault="006B0E3D" w:rsidP="006B0E3D">
            <w:pPr>
              <w:rPr>
                <w:rFonts w:ascii="Calibri" w:hAnsi="Calibri" w:cs="Calibri"/>
                <w:sz w:val="20"/>
                <w:szCs w:val="20"/>
              </w:rPr>
            </w:pPr>
            <w:r w:rsidRPr="009B5509">
              <w:rPr>
                <w:rFonts w:ascii="Calibri" w:hAnsi="Calibri" w:cs="Calibri"/>
                <w:sz w:val="20"/>
                <w:szCs w:val="20"/>
              </w:rPr>
              <w:t>Medicaid Fees</w:t>
            </w:r>
          </w:p>
        </w:tc>
        <w:tc>
          <w:tcPr>
            <w:tcW w:w="1599" w:type="dxa"/>
          </w:tcPr>
          <w:p w14:paraId="10F3B3C5" w14:textId="54610F03"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$203,428,129</w:t>
            </w:r>
          </w:p>
        </w:tc>
        <w:tc>
          <w:tcPr>
            <w:tcW w:w="1611" w:type="dxa"/>
          </w:tcPr>
          <w:p w14:paraId="704434BA" w14:textId="02557679"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$218,101,817</w:t>
            </w:r>
          </w:p>
        </w:tc>
        <w:tc>
          <w:tcPr>
            <w:tcW w:w="1817" w:type="dxa"/>
          </w:tcPr>
          <w:p w14:paraId="03A7AB33" w14:textId="7EF2E8D5"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$24,497,504</w:t>
            </w:r>
          </w:p>
        </w:tc>
        <w:tc>
          <w:tcPr>
            <w:tcW w:w="1615" w:type="dxa"/>
          </w:tcPr>
          <w:p w14:paraId="525F7F18" w14:textId="3FCF6772"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 xml:space="preserve">          $446,027,450</w:t>
            </w:r>
          </w:p>
        </w:tc>
        <w:tc>
          <w:tcPr>
            <w:tcW w:w="995" w:type="dxa"/>
          </w:tcPr>
          <w:p w14:paraId="349BA512" w14:textId="765C37EA"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29.02%</w:t>
            </w:r>
          </w:p>
        </w:tc>
      </w:tr>
      <w:tr w:rsidR="009B5509" w:rsidRPr="009B5509" w14:paraId="4CE94B82" w14:textId="77777777" w:rsidTr="00A61A4B">
        <w:trPr>
          <w:jc w:val="center"/>
        </w:trPr>
        <w:tc>
          <w:tcPr>
            <w:tcW w:w="1723" w:type="dxa"/>
          </w:tcPr>
          <w:p w14:paraId="0D082C86" w14:textId="77777777" w:rsidR="006B0E3D" w:rsidRPr="009B5509" w:rsidRDefault="006B0E3D" w:rsidP="006B0E3D">
            <w:pPr>
              <w:rPr>
                <w:rFonts w:ascii="Calibri" w:hAnsi="Calibri" w:cs="Calibri"/>
                <w:sz w:val="20"/>
                <w:szCs w:val="20"/>
              </w:rPr>
            </w:pPr>
            <w:r w:rsidRPr="009B5509">
              <w:rPr>
                <w:rFonts w:ascii="Calibri" w:hAnsi="Calibri" w:cs="Calibri"/>
                <w:sz w:val="20"/>
                <w:szCs w:val="20"/>
              </w:rPr>
              <w:t>Other Fees</w:t>
            </w:r>
          </w:p>
        </w:tc>
        <w:tc>
          <w:tcPr>
            <w:tcW w:w="1599" w:type="dxa"/>
          </w:tcPr>
          <w:p w14:paraId="0DA0B95F" w14:textId="28D9F38A"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$46,455,013</w:t>
            </w:r>
          </w:p>
        </w:tc>
        <w:tc>
          <w:tcPr>
            <w:tcW w:w="1611" w:type="dxa"/>
          </w:tcPr>
          <w:p w14:paraId="69F416D3" w14:textId="338A5656"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$14,918,737</w:t>
            </w:r>
          </w:p>
        </w:tc>
        <w:tc>
          <w:tcPr>
            <w:tcW w:w="1817" w:type="dxa"/>
          </w:tcPr>
          <w:p w14:paraId="541C8806" w14:textId="069C1CF0"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$8,685,568</w:t>
            </w:r>
          </w:p>
        </w:tc>
        <w:tc>
          <w:tcPr>
            <w:tcW w:w="1615" w:type="dxa"/>
          </w:tcPr>
          <w:p w14:paraId="659B332E" w14:textId="0914B788" w:rsidR="006B0E3D" w:rsidRPr="009B5509" w:rsidRDefault="006B0E3D" w:rsidP="006B0E3D">
            <w:pPr>
              <w:tabs>
                <w:tab w:val="left" w:pos="1470"/>
                <w:tab w:val="right" w:pos="1592"/>
              </w:tabs>
              <w:jc w:val="right"/>
              <w:rPr>
                <w:rFonts w:ascii="Calibri" w:hAnsi="Calibri" w:cs="Calibri"/>
                <w:sz w:val="20"/>
                <w:szCs w:val="20"/>
              </w:rPr>
            </w:pPr>
            <w:r w:rsidRPr="009B5509">
              <w:rPr>
                <w:rFonts w:asciiTheme="minorHAnsi" w:hAnsiTheme="minorHAnsi" w:cstheme="minorHAnsi"/>
                <w:sz w:val="20"/>
                <w:szCs w:val="20"/>
              </w:rPr>
              <w:t xml:space="preserve">            $70,059,318</w:t>
            </w:r>
          </w:p>
        </w:tc>
        <w:tc>
          <w:tcPr>
            <w:tcW w:w="995" w:type="dxa"/>
          </w:tcPr>
          <w:p w14:paraId="0E076639" w14:textId="52CC16D1"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4.56%</w:t>
            </w:r>
          </w:p>
        </w:tc>
      </w:tr>
      <w:tr w:rsidR="009B5509" w:rsidRPr="009B5509" w14:paraId="7F15ADBB" w14:textId="77777777" w:rsidTr="00A61A4B">
        <w:trPr>
          <w:jc w:val="center"/>
        </w:trPr>
        <w:tc>
          <w:tcPr>
            <w:tcW w:w="1723" w:type="dxa"/>
          </w:tcPr>
          <w:p w14:paraId="2D0299E9" w14:textId="77777777" w:rsidR="006B0E3D" w:rsidRPr="009B5509" w:rsidRDefault="006B0E3D" w:rsidP="006B0E3D">
            <w:pPr>
              <w:rPr>
                <w:rFonts w:ascii="Calibri" w:hAnsi="Calibri" w:cs="Calibri"/>
                <w:sz w:val="20"/>
                <w:szCs w:val="20"/>
              </w:rPr>
            </w:pPr>
            <w:r w:rsidRPr="009B5509">
              <w:rPr>
                <w:rFonts w:ascii="Calibri" w:hAnsi="Calibri" w:cs="Calibri"/>
                <w:sz w:val="20"/>
                <w:szCs w:val="20"/>
              </w:rPr>
              <w:t>Federal Funds</w:t>
            </w:r>
          </w:p>
        </w:tc>
        <w:tc>
          <w:tcPr>
            <w:tcW w:w="1599" w:type="dxa"/>
          </w:tcPr>
          <w:p w14:paraId="57D757C2" w14:textId="24C1EB75"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$48,785,352</w:t>
            </w:r>
          </w:p>
        </w:tc>
        <w:tc>
          <w:tcPr>
            <w:tcW w:w="1611" w:type="dxa"/>
          </w:tcPr>
          <w:p w14:paraId="7B4E9EB1" w14:textId="520BAEAD"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$1,707,592</w:t>
            </w:r>
          </w:p>
        </w:tc>
        <w:tc>
          <w:tcPr>
            <w:tcW w:w="1817" w:type="dxa"/>
          </w:tcPr>
          <w:p w14:paraId="122AD7C0" w14:textId="1808E92E"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$100,068,250</w:t>
            </w:r>
          </w:p>
        </w:tc>
        <w:tc>
          <w:tcPr>
            <w:tcW w:w="1615" w:type="dxa"/>
          </w:tcPr>
          <w:p w14:paraId="10A3A683" w14:textId="23DD2B14" w:rsidR="006B0E3D" w:rsidRPr="009B5509" w:rsidRDefault="006B0E3D" w:rsidP="006B0E3D">
            <w:pPr>
              <w:tabs>
                <w:tab w:val="left" w:pos="1470"/>
                <w:tab w:val="right" w:pos="1592"/>
              </w:tabs>
              <w:jc w:val="right"/>
              <w:rPr>
                <w:rFonts w:ascii="Calibri" w:hAnsi="Calibri" w:cs="Calibri"/>
                <w:sz w:val="20"/>
                <w:szCs w:val="20"/>
              </w:rPr>
            </w:pPr>
            <w:r w:rsidRPr="009B5509">
              <w:rPr>
                <w:rFonts w:asciiTheme="minorHAnsi" w:hAnsiTheme="minorHAnsi" w:cstheme="minorHAnsi"/>
                <w:sz w:val="20"/>
                <w:szCs w:val="20"/>
              </w:rPr>
              <w:t xml:space="preserve">          $150,561,194</w:t>
            </w:r>
          </w:p>
        </w:tc>
        <w:tc>
          <w:tcPr>
            <w:tcW w:w="995" w:type="dxa"/>
          </w:tcPr>
          <w:p w14:paraId="7137A72F" w14:textId="4B6C6F29"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9.80%</w:t>
            </w:r>
          </w:p>
        </w:tc>
      </w:tr>
      <w:tr w:rsidR="009B5509" w:rsidRPr="009B5509" w14:paraId="5CE533A1" w14:textId="77777777" w:rsidTr="00A61A4B">
        <w:trPr>
          <w:jc w:val="center"/>
        </w:trPr>
        <w:tc>
          <w:tcPr>
            <w:tcW w:w="1723" w:type="dxa"/>
          </w:tcPr>
          <w:p w14:paraId="7DB6E248" w14:textId="77777777" w:rsidR="006B0E3D" w:rsidRPr="009B5509" w:rsidRDefault="006B0E3D" w:rsidP="006B0E3D">
            <w:pPr>
              <w:rPr>
                <w:rFonts w:ascii="Calibri" w:hAnsi="Calibri" w:cs="Calibri"/>
                <w:sz w:val="20"/>
                <w:szCs w:val="20"/>
              </w:rPr>
            </w:pPr>
            <w:r w:rsidRPr="009B5509">
              <w:rPr>
                <w:rFonts w:ascii="Calibri" w:hAnsi="Calibri" w:cs="Calibri"/>
                <w:sz w:val="20"/>
                <w:szCs w:val="20"/>
              </w:rPr>
              <w:t>Other Funds</w:t>
            </w:r>
          </w:p>
        </w:tc>
        <w:tc>
          <w:tcPr>
            <w:tcW w:w="1599" w:type="dxa"/>
          </w:tcPr>
          <w:p w14:paraId="6C13CE07" w14:textId="5943F1B1"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$9,657,472</w:t>
            </w:r>
          </w:p>
        </w:tc>
        <w:tc>
          <w:tcPr>
            <w:tcW w:w="1611" w:type="dxa"/>
          </w:tcPr>
          <w:p w14:paraId="4ED3D5B5" w14:textId="623269BA"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 xml:space="preserve">$3,244,090 </w:t>
            </w:r>
          </w:p>
        </w:tc>
        <w:tc>
          <w:tcPr>
            <w:tcW w:w="1817" w:type="dxa"/>
          </w:tcPr>
          <w:p w14:paraId="2FBA61A3" w14:textId="2ECD18EB"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$4,943,951</w:t>
            </w:r>
          </w:p>
        </w:tc>
        <w:tc>
          <w:tcPr>
            <w:tcW w:w="1615" w:type="dxa"/>
          </w:tcPr>
          <w:p w14:paraId="1C407EBD" w14:textId="2DC5C5D4"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$17,845,513</w:t>
            </w:r>
          </w:p>
        </w:tc>
        <w:tc>
          <w:tcPr>
            <w:tcW w:w="995" w:type="dxa"/>
          </w:tcPr>
          <w:p w14:paraId="714AC7F0" w14:textId="04E954C1"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1.16%</w:t>
            </w:r>
          </w:p>
        </w:tc>
      </w:tr>
      <w:tr w:rsidR="009B5509" w:rsidRPr="009B5509" w14:paraId="2154F592" w14:textId="77777777" w:rsidTr="00A61A4B">
        <w:trPr>
          <w:jc w:val="center"/>
        </w:trPr>
        <w:tc>
          <w:tcPr>
            <w:tcW w:w="1723" w:type="dxa"/>
          </w:tcPr>
          <w:p w14:paraId="5FFA81A0" w14:textId="77777777" w:rsidR="006B0E3D" w:rsidRPr="009B5509" w:rsidRDefault="006B0E3D" w:rsidP="006B0E3D">
            <w:pPr>
              <w:rPr>
                <w:rFonts w:ascii="Calibri" w:hAnsi="Calibri" w:cs="Calibri"/>
                <w:sz w:val="20"/>
                <w:szCs w:val="20"/>
              </w:rPr>
            </w:pPr>
            <w:r w:rsidRPr="009B5509">
              <w:rPr>
                <w:rFonts w:ascii="Calibri" w:hAnsi="Calibri" w:cs="Calibri"/>
                <w:sz w:val="20"/>
                <w:szCs w:val="20"/>
              </w:rPr>
              <w:t>Total Funds</w:t>
            </w:r>
          </w:p>
        </w:tc>
        <w:tc>
          <w:tcPr>
            <w:tcW w:w="1599" w:type="dxa"/>
          </w:tcPr>
          <w:p w14:paraId="284BC4AC" w14:textId="73075306"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$882,636,410</w:t>
            </w:r>
          </w:p>
        </w:tc>
        <w:tc>
          <w:tcPr>
            <w:tcW w:w="1611" w:type="dxa"/>
          </w:tcPr>
          <w:p w14:paraId="7DC4C363" w14:textId="214868E8"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$402,304,351</w:t>
            </w:r>
          </w:p>
        </w:tc>
        <w:tc>
          <w:tcPr>
            <w:tcW w:w="1817" w:type="dxa"/>
          </w:tcPr>
          <w:p w14:paraId="0088A30E" w14:textId="3A8D8F48"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$251,847,710</w:t>
            </w:r>
          </w:p>
        </w:tc>
        <w:tc>
          <w:tcPr>
            <w:tcW w:w="1615" w:type="dxa"/>
          </w:tcPr>
          <w:p w14:paraId="14E40DC1" w14:textId="1F5221BA" w:rsidR="006B0E3D" w:rsidRPr="009B5509" w:rsidRDefault="006B0E3D" w:rsidP="006B0E3D">
            <w:pPr>
              <w:tabs>
                <w:tab w:val="left" w:pos="1455"/>
                <w:tab w:val="right" w:pos="1592"/>
              </w:tabs>
              <w:jc w:val="right"/>
              <w:rPr>
                <w:rFonts w:ascii="Calibri" w:hAnsi="Calibri" w:cs="Calibri"/>
                <w:sz w:val="20"/>
                <w:szCs w:val="20"/>
              </w:rPr>
            </w:pPr>
            <w:r w:rsidRPr="009B5509">
              <w:rPr>
                <w:rFonts w:asciiTheme="minorHAnsi" w:hAnsiTheme="minorHAnsi" w:cstheme="minorHAnsi"/>
                <w:sz w:val="20"/>
                <w:szCs w:val="20"/>
              </w:rPr>
              <w:t xml:space="preserve">       $1,536,788,471</w:t>
            </w:r>
          </w:p>
        </w:tc>
        <w:tc>
          <w:tcPr>
            <w:tcW w:w="995" w:type="dxa"/>
          </w:tcPr>
          <w:p w14:paraId="0BF06B67" w14:textId="5BD7FB98"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100.00%</w:t>
            </w:r>
          </w:p>
        </w:tc>
      </w:tr>
      <w:tr w:rsidR="009B5509" w:rsidRPr="009B5509" w14:paraId="78BCCE06" w14:textId="77777777" w:rsidTr="00A61A4B">
        <w:trPr>
          <w:jc w:val="center"/>
        </w:trPr>
        <w:tc>
          <w:tcPr>
            <w:tcW w:w="1723" w:type="dxa"/>
          </w:tcPr>
          <w:p w14:paraId="535DA523" w14:textId="77777777" w:rsidR="006B0E3D" w:rsidRPr="009B5509" w:rsidRDefault="006B0E3D" w:rsidP="006B0E3D">
            <w:pPr>
              <w:rPr>
                <w:rFonts w:ascii="Calibri" w:hAnsi="Calibri" w:cs="Calibri"/>
                <w:sz w:val="20"/>
                <w:szCs w:val="20"/>
              </w:rPr>
            </w:pPr>
            <w:r w:rsidRPr="009B5509">
              <w:rPr>
                <w:rFonts w:ascii="Calibri" w:hAnsi="Calibri" w:cs="Calibri"/>
                <w:sz w:val="20"/>
                <w:szCs w:val="20"/>
              </w:rPr>
              <w:t>Percent of Total</w:t>
            </w:r>
          </w:p>
        </w:tc>
        <w:tc>
          <w:tcPr>
            <w:tcW w:w="1599" w:type="dxa"/>
          </w:tcPr>
          <w:p w14:paraId="4A950FA9" w14:textId="17539AEB"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57.43%</w:t>
            </w:r>
          </w:p>
        </w:tc>
        <w:tc>
          <w:tcPr>
            <w:tcW w:w="1611" w:type="dxa"/>
          </w:tcPr>
          <w:p w14:paraId="5386A3C1" w14:textId="06B00DA1"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26.18%</w:t>
            </w:r>
          </w:p>
        </w:tc>
        <w:tc>
          <w:tcPr>
            <w:tcW w:w="1817" w:type="dxa"/>
          </w:tcPr>
          <w:p w14:paraId="6F450963" w14:textId="5D052266"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16.39%</w:t>
            </w:r>
          </w:p>
        </w:tc>
        <w:tc>
          <w:tcPr>
            <w:tcW w:w="1615" w:type="dxa"/>
          </w:tcPr>
          <w:p w14:paraId="468618D8" w14:textId="559D4BF2" w:rsidR="006B0E3D" w:rsidRPr="009B5509" w:rsidRDefault="006B0E3D" w:rsidP="006B0E3D">
            <w:pPr>
              <w:jc w:val="right"/>
              <w:rPr>
                <w:rFonts w:ascii="Calibri" w:hAnsi="Calibri" w:cs="Calibri"/>
                <w:sz w:val="20"/>
                <w:szCs w:val="20"/>
              </w:rPr>
            </w:pPr>
            <w:r w:rsidRPr="009B5509">
              <w:rPr>
                <w:rFonts w:asciiTheme="minorHAnsi" w:hAnsiTheme="minorHAnsi" w:cstheme="minorHAnsi"/>
                <w:sz w:val="20"/>
                <w:szCs w:val="20"/>
              </w:rPr>
              <w:t>100.00%</w:t>
            </w:r>
          </w:p>
        </w:tc>
        <w:tc>
          <w:tcPr>
            <w:tcW w:w="995" w:type="dxa"/>
            <w:shd w:val="clear" w:color="auto" w:fill="8C8C8C"/>
          </w:tcPr>
          <w:p w14:paraId="2173F64E" w14:textId="77777777" w:rsidR="006B0E3D" w:rsidRPr="009B5509" w:rsidRDefault="006B0E3D" w:rsidP="006B0E3D">
            <w:pPr>
              <w:jc w:val="center"/>
              <w:rPr>
                <w:rFonts w:ascii="Calibri" w:hAnsi="Calibri" w:cs="Calibri"/>
                <w:sz w:val="20"/>
                <w:szCs w:val="20"/>
              </w:rPr>
            </w:pPr>
          </w:p>
        </w:tc>
      </w:tr>
    </w:tbl>
    <w:p w14:paraId="00F7D27A" w14:textId="77777777" w:rsidR="00B72DF5" w:rsidRPr="009B5509" w:rsidRDefault="00B72DF5" w:rsidP="00F46923"/>
    <w:tbl>
      <w:tblPr>
        <w:tblW w:w="936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9" w:type="dxa"/>
          <w:right w:w="29" w:type="dxa"/>
        </w:tblCellMar>
        <w:tblLook w:val="00A0" w:firstRow="1" w:lastRow="0" w:firstColumn="1" w:lastColumn="0" w:noHBand="0" w:noVBand="0"/>
      </w:tblPr>
      <w:tblGrid>
        <w:gridCol w:w="1975"/>
        <w:gridCol w:w="1642"/>
        <w:gridCol w:w="1643"/>
        <w:gridCol w:w="1642"/>
        <w:gridCol w:w="1643"/>
        <w:gridCol w:w="815"/>
      </w:tblGrid>
      <w:tr w:rsidR="009B5509" w:rsidRPr="009B5509" w14:paraId="6D1BA46A" w14:textId="77777777" w:rsidTr="00D85B34">
        <w:trPr>
          <w:jc w:val="center"/>
        </w:trPr>
        <w:tc>
          <w:tcPr>
            <w:tcW w:w="9360" w:type="dxa"/>
            <w:gridSpan w:val="6"/>
            <w:shd w:val="clear" w:color="auto" w:fill="auto"/>
            <w:vAlign w:val="center"/>
          </w:tcPr>
          <w:p w14:paraId="415175A9" w14:textId="032BC6B0" w:rsidR="00E265AE" w:rsidRPr="009B5509" w:rsidRDefault="00E265AE" w:rsidP="00F46923">
            <w:pPr>
              <w:jc w:val="center"/>
              <w:rPr>
                <w:rFonts w:ascii="Calibri" w:hAnsi="Calibri" w:cs="Calibri"/>
                <w:sz w:val="20"/>
                <w:szCs w:val="20"/>
              </w:rPr>
            </w:pPr>
            <w:r w:rsidRPr="009B5509">
              <w:rPr>
                <w:rFonts w:ascii="Calibri" w:hAnsi="Calibri" w:cs="Calibri"/>
                <w:b/>
                <w:sz w:val="20"/>
                <w:szCs w:val="20"/>
              </w:rPr>
              <w:t>Figure 19:  FY 202</w:t>
            </w:r>
            <w:r w:rsidR="00F815D5" w:rsidRPr="009B5509">
              <w:rPr>
                <w:rFonts w:ascii="Calibri" w:hAnsi="Calibri" w:cs="Calibri"/>
                <w:b/>
                <w:sz w:val="20"/>
                <w:szCs w:val="20"/>
              </w:rPr>
              <w:t>2</w:t>
            </w:r>
            <w:r w:rsidRPr="009B5509">
              <w:rPr>
                <w:rFonts w:ascii="Calibri" w:hAnsi="Calibri" w:cs="Calibri"/>
                <w:b/>
                <w:sz w:val="20"/>
                <w:szCs w:val="20"/>
              </w:rPr>
              <w:t xml:space="preserve"> State Facility Funds Received by Type of State Facility</w:t>
            </w:r>
          </w:p>
        </w:tc>
      </w:tr>
      <w:tr w:rsidR="009B5509" w:rsidRPr="009B5509" w14:paraId="0DE08199" w14:textId="77777777" w:rsidTr="00D85B34">
        <w:trPr>
          <w:jc w:val="center"/>
        </w:trPr>
        <w:tc>
          <w:tcPr>
            <w:tcW w:w="1975" w:type="dxa"/>
            <w:vAlign w:val="center"/>
          </w:tcPr>
          <w:p w14:paraId="587F7669"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Funding Source</w:t>
            </w:r>
          </w:p>
        </w:tc>
        <w:tc>
          <w:tcPr>
            <w:tcW w:w="1642" w:type="dxa"/>
          </w:tcPr>
          <w:p w14:paraId="2CEE7662"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 xml:space="preserve">State </w:t>
            </w:r>
          </w:p>
          <w:p w14:paraId="53405814"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Hospitals</w:t>
            </w:r>
          </w:p>
        </w:tc>
        <w:tc>
          <w:tcPr>
            <w:tcW w:w="1643" w:type="dxa"/>
          </w:tcPr>
          <w:p w14:paraId="667FE63B"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Other State</w:t>
            </w:r>
          </w:p>
          <w:p w14:paraId="53B06602" w14:textId="6C7C7FDD" w:rsidR="00E265AE" w:rsidRPr="009B5509" w:rsidRDefault="00E265AE" w:rsidP="00F46923">
            <w:pPr>
              <w:jc w:val="center"/>
              <w:rPr>
                <w:rFonts w:ascii="Calibri" w:hAnsi="Calibri" w:cs="Calibri"/>
                <w:sz w:val="20"/>
                <w:szCs w:val="20"/>
              </w:rPr>
            </w:pPr>
            <w:r w:rsidRPr="009B5509">
              <w:rPr>
                <w:rFonts w:ascii="Calibri" w:hAnsi="Calibri" w:cs="Calibri"/>
                <w:sz w:val="20"/>
                <w:szCs w:val="20"/>
              </w:rPr>
              <w:t>Facilities</w:t>
            </w:r>
            <w:r w:rsidR="00D85B34" w:rsidRPr="009B5509">
              <w:rPr>
                <w:rFonts w:ascii="Calibri" w:hAnsi="Calibri" w:cs="Calibri"/>
                <w:b/>
                <w:sz w:val="20"/>
                <w:szCs w:val="20"/>
                <w:vertAlign w:val="superscript"/>
              </w:rPr>
              <w:t>1</w:t>
            </w:r>
          </w:p>
        </w:tc>
        <w:tc>
          <w:tcPr>
            <w:tcW w:w="1642" w:type="dxa"/>
          </w:tcPr>
          <w:p w14:paraId="31464F3E"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Training</w:t>
            </w:r>
          </w:p>
          <w:p w14:paraId="715AC24E" w14:textId="1311FA58" w:rsidR="00E265AE" w:rsidRPr="009B5509" w:rsidRDefault="00D85B34" w:rsidP="00F46923">
            <w:pPr>
              <w:jc w:val="center"/>
              <w:rPr>
                <w:rFonts w:ascii="Calibri" w:hAnsi="Calibri" w:cs="Calibri"/>
                <w:sz w:val="20"/>
                <w:szCs w:val="20"/>
              </w:rPr>
            </w:pPr>
            <w:r w:rsidRPr="009B5509">
              <w:rPr>
                <w:rFonts w:ascii="Calibri" w:hAnsi="Calibri" w:cs="Calibri"/>
                <w:sz w:val="20"/>
                <w:szCs w:val="20"/>
              </w:rPr>
              <w:t>Center</w:t>
            </w:r>
          </w:p>
        </w:tc>
        <w:tc>
          <w:tcPr>
            <w:tcW w:w="1643" w:type="dxa"/>
          </w:tcPr>
          <w:p w14:paraId="41DD20CC"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Total</w:t>
            </w:r>
          </w:p>
          <w:p w14:paraId="5B4012B1"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Revenues</w:t>
            </w:r>
          </w:p>
        </w:tc>
        <w:tc>
          <w:tcPr>
            <w:tcW w:w="815" w:type="dxa"/>
          </w:tcPr>
          <w:p w14:paraId="4419EF4F"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Percent</w:t>
            </w:r>
          </w:p>
          <w:p w14:paraId="31FE8FD4"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of Total</w:t>
            </w:r>
          </w:p>
        </w:tc>
      </w:tr>
      <w:tr w:rsidR="009B5509" w:rsidRPr="009B5509" w14:paraId="2A95250F" w14:textId="77777777" w:rsidTr="004D34DD">
        <w:trPr>
          <w:trHeight w:val="70"/>
          <w:jc w:val="center"/>
        </w:trPr>
        <w:tc>
          <w:tcPr>
            <w:tcW w:w="1975" w:type="dxa"/>
          </w:tcPr>
          <w:p w14:paraId="78D88C4A" w14:textId="77777777" w:rsidR="004D34DD" w:rsidRPr="009B5509" w:rsidRDefault="004D34DD" w:rsidP="004D34DD">
            <w:pPr>
              <w:rPr>
                <w:rFonts w:ascii="Calibri" w:hAnsi="Calibri" w:cs="Calibri"/>
                <w:sz w:val="20"/>
                <w:szCs w:val="20"/>
              </w:rPr>
            </w:pPr>
            <w:r w:rsidRPr="009B5509">
              <w:rPr>
                <w:rFonts w:ascii="Calibri" w:hAnsi="Calibri" w:cs="Calibri"/>
                <w:sz w:val="20"/>
                <w:szCs w:val="20"/>
              </w:rPr>
              <w:t>State General Funds</w:t>
            </w:r>
          </w:p>
        </w:tc>
        <w:tc>
          <w:tcPr>
            <w:tcW w:w="1642" w:type="dxa"/>
            <w:vAlign w:val="bottom"/>
          </w:tcPr>
          <w:p w14:paraId="268AFE8D" w14:textId="6BE01E76" w:rsidR="004D34DD" w:rsidRPr="009B5509" w:rsidRDefault="004D34DD" w:rsidP="00FC3F61">
            <w:pPr>
              <w:pStyle w:val="NoSpacing"/>
              <w:jc w:val="right"/>
              <w:rPr>
                <w:sz w:val="20"/>
                <w:szCs w:val="20"/>
              </w:rPr>
            </w:pPr>
            <w:r w:rsidRPr="009B5509">
              <w:rPr>
                <w:sz w:val="20"/>
                <w:szCs w:val="20"/>
              </w:rPr>
              <w:t xml:space="preserve">$420,363,310 </w:t>
            </w:r>
          </w:p>
        </w:tc>
        <w:tc>
          <w:tcPr>
            <w:tcW w:w="1643" w:type="dxa"/>
            <w:vAlign w:val="bottom"/>
          </w:tcPr>
          <w:p w14:paraId="3D5430E1" w14:textId="5F212F4F" w:rsidR="004D34DD" w:rsidRPr="009B5509" w:rsidRDefault="004D34DD" w:rsidP="00FC3F61">
            <w:pPr>
              <w:pStyle w:val="NoSpacing"/>
              <w:jc w:val="right"/>
              <w:rPr>
                <w:sz w:val="20"/>
                <w:szCs w:val="20"/>
              </w:rPr>
            </w:pPr>
            <w:r w:rsidRPr="009B5509">
              <w:rPr>
                <w:sz w:val="20"/>
                <w:szCs w:val="20"/>
              </w:rPr>
              <w:t xml:space="preserve">$58,096,188 </w:t>
            </w:r>
          </w:p>
        </w:tc>
        <w:tc>
          <w:tcPr>
            <w:tcW w:w="1642" w:type="dxa"/>
            <w:vAlign w:val="bottom"/>
          </w:tcPr>
          <w:p w14:paraId="61E3F06B" w14:textId="662F042A" w:rsidR="004D34DD" w:rsidRPr="009B5509" w:rsidRDefault="004D34DD" w:rsidP="00FC3F61">
            <w:pPr>
              <w:pStyle w:val="NoSpacing"/>
              <w:jc w:val="right"/>
              <w:rPr>
                <w:sz w:val="20"/>
                <w:szCs w:val="20"/>
              </w:rPr>
            </w:pPr>
            <w:r w:rsidRPr="009B5509">
              <w:rPr>
                <w:sz w:val="20"/>
                <w:szCs w:val="20"/>
              </w:rPr>
              <w:t xml:space="preserve">            $6,346,081 </w:t>
            </w:r>
          </w:p>
        </w:tc>
        <w:tc>
          <w:tcPr>
            <w:tcW w:w="1643" w:type="dxa"/>
            <w:vAlign w:val="bottom"/>
          </w:tcPr>
          <w:p w14:paraId="008B1A0F" w14:textId="4C605E46" w:rsidR="004D34DD" w:rsidRPr="009B5509" w:rsidRDefault="004D34DD" w:rsidP="00FC3F61">
            <w:pPr>
              <w:pStyle w:val="NoSpacing"/>
              <w:jc w:val="right"/>
              <w:rPr>
                <w:sz w:val="20"/>
                <w:szCs w:val="20"/>
              </w:rPr>
            </w:pPr>
            <w:r w:rsidRPr="009B5509">
              <w:rPr>
                <w:sz w:val="20"/>
                <w:szCs w:val="20"/>
              </w:rPr>
              <w:t xml:space="preserve">          $484,805,579 </w:t>
            </w:r>
          </w:p>
        </w:tc>
        <w:tc>
          <w:tcPr>
            <w:tcW w:w="815" w:type="dxa"/>
            <w:vAlign w:val="bottom"/>
          </w:tcPr>
          <w:p w14:paraId="7373551D" w14:textId="4164EC90" w:rsidR="004D34DD" w:rsidRPr="009B5509" w:rsidRDefault="004D34DD" w:rsidP="00FC3F61">
            <w:pPr>
              <w:pStyle w:val="NoSpacing"/>
              <w:jc w:val="right"/>
              <w:rPr>
                <w:sz w:val="20"/>
                <w:szCs w:val="20"/>
              </w:rPr>
            </w:pPr>
            <w:r w:rsidRPr="009B5509">
              <w:rPr>
                <w:sz w:val="20"/>
                <w:szCs w:val="20"/>
              </w:rPr>
              <w:t>80%</w:t>
            </w:r>
          </w:p>
        </w:tc>
      </w:tr>
      <w:tr w:rsidR="009B5509" w:rsidRPr="009B5509" w14:paraId="21292614" w14:textId="77777777" w:rsidTr="002F2C79">
        <w:trPr>
          <w:jc w:val="center"/>
        </w:trPr>
        <w:tc>
          <w:tcPr>
            <w:tcW w:w="1975" w:type="dxa"/>
          </w:tcPr>
          <w:p w14:paraId="36BB88A4" w14:textId="77777777" w:rsidR="004D34DD" w:rsidRPr="009B5509" w:rsidRDefault="004D34DD" w:rsidP="004D34DD">
            <w:pPr>
              <w:rPr>
                <w:rFonts w:ascii="Calibri" w:hAnsi="Calibri" w:cs="Calibri"/>
                <w:sz w:val="20"/>
                <w:szCs w:val="20"/>
              </w:rPr>
            </w:pPr>
            <w:r w:rsidRPr="009B5509">
              <w:rPr>
                <w:rFonts w:ascii="Calibri" w:hAnsi="Calibri" w:cs="Calibri"/>
                <w:sz w:val="20"/>
                <w:szCs w:val="20"/>
              </w:rPr>
              <w:t>Federal Funds</w:t>
            </w:r>
          </w:p>
        </w:tc>
        <w:tc>
          <w:tcPr>
            <w:tcW w:w="1642" w:type="dxa"/>
            <w:vAlign w:val="bottom"/>
          </w:tcPr>
          <w:p w14:paraId="5375CD66" w14:textId="5790DBF6" w:rsidR="004D34DD" w:rsidRPr="009B5509" w:rsidRDefault="004D34DD" w:rsidP="00FC3F61">
            <w:pPr>
              <w:pStyle w:val="NoSpacing"/>
              <w:jc w:val="right"/>
              <w:rPr>
                <w:sz w:val="20"/>
                <w:szCs w:val="20"/>
              </w:rPr>
            </w:pPr>
            <w:r w:rsidRPr="009B5509">
              <w:rPr>
                <w:sz w:val="20"/>
                <w:szCs w:val="20"/>
              </w:rPr>
              <w:t xml:space="preserve"> $27,197,331 </w:t>
            </w:r>
          </w:p>
        </w:tc>
        <w:tc>
          <w:tcPr>
            <w:tcW w:w="1643" w:type="dxa"/>
            <w:vAlign w:val="bottom"/>
          </w:tcPr>
          <w:p w14:paraId="6955A961" w14:textId="39001D0C" w:rsidR="004D34DD" w:rsidRPr="009B5509" w:rsidRDefault="004D34DD" w:rsidP="00FC3F61">
            <w:pPr>
              <w:pStyle w:val="NoSpacing"/>
              <w:jc w:val="right"/>
              <w:rPr>
                <w:sz w:val="20"/>
                <w:szCs w:val="20"/>
              </w:rPr>
            </w:pPr>
            <w:r w:rsidRPr="009B5509">
              <w:rPr>
                <w:sz w:val="20"/>
                <w:szCs w:val="20"/>
              </w:rPr>
              <w:t xml:space="preserve">          $5,526,128 </w:t>
            </w:r>
          </w:p>
        </w:tc>
        <w:tc>
          <w:tcPr>
            <w:tcW w:w="1642" w:type="dxa"/>
            <w:vAlign w:val="bottom"/>
          </w:tcPr>
          <w:p w14:paraId="164FDA96" w14:textId="12712CE5" w:rsidR="004D34DD" w:rsidRPr="009B5509" w:rsidRDefault="004D34DD" w:rsidP="00FC3F61">
            <w:pPr>
              <w:pStyle w:val="NoSpacing"/>
              <w:jc w:val="right"/>
              <w:rPr>
                <w:sz w:val="20"/>
                <w:szCs w:val="20"/>
              </w:rPr>
            </w:pPr>
            <w:r w:rsidRPr="009B5509">
              <w:rPr>
                <w:sz w:val="20"/>
                <w:szCs w:val="20"/>
              </w:rPr>
              <w:t xml:space="preserve">             $1,840,547 </w:t>
            </w:r>
          </w:p>
        </w:tc>
        <w:tc>
          <w:tcPr>
            <w:tcW w:w="1643" w:type="dxa"/>
            <w:vAlign w:val="bottom"/>
          </w:tcPr>
          <w:p w14:paraId="108178FF" w14:textId="280D7674" w:rsidR="004D34DD" w:rsidRPr="009B5509" w:rsidRDefault="004D34DD" w:rsidP="00FC3F61">
            <w:pPr>
              <w:pStyle w:val="NoSpacing"/>
              <w:jc w:val="right"/>
              <w:rPr>
                <w:sz w:val="20"/>
                <w:szCs w:val="20"/>
              </w:rPr>
            </w:pPr>
            <w:r w:rsidRPr="009B5509">
              <w:rPr>
                <w:sz w:val="20"/>
                <w:szCs w:val="20"/>
              </w:rPr>
              <w:t xml:space="preserve">            $34,564,006 </w:t>
            </w:r>
          </w:p>
        </w:tc>
        <w:tc>
          <w:tcPr>
            <w:tcW w:w="815" w:type="dxa"/>
            <w:vAlign w:val="bottom"/>
          </w:tcPr>
          <w:p w14:paraId="520B9392" w14:textId="0B70D08A" w:rsidR="004D34DD" w:rsidRPr="009B5509" w:rsidRDefault="004D34DD" w:rsidP="00FC3F61">
            <w:pPr>
              <w:pStyle w:val="NoSpacing"/>
              <w:jc w:val="right"/>
              <w:rPr>
                <w:sz w:val="20"/>
                <w:szCs w:val="20"/>
              </w:rPr>
            </w:pPr>
            <w:r w:rsidRPr="009B5509">
              <w:rPr>
                <w:sz w:val="20"/>
                <w:szCs w:val="20"/>
              </w:rPr>
              <w:t>6%</w:t>
            </w:r>
          </w:p>
        </w:tc>
      </w:tr>
      <w:tr w:rsidR="009B5509" w:rsidRPr="009B5509" w14:paraId="28B7F74D" w14:textId="77777777" w:rsidTr="002F2C79">
        <w:trPr>
          <w:jc w:val="center"/>
        </w:trPr>
        <w:tc>
          <w:tcPr>
            <w:tcW w:w="1975" w:type="dxa"/>
          </w:tcPr>
          <w:p w14:paraId="42A67F2B" w14:textId="77777777" w:rsidR="004D34DD" w:rsidRPr="009B5509" w:rsidRDefault="004D34DD" w:rsidP="004D34DD">
            <w:pPr>
              <w:rPr>
                <w:rFonts w:ascii="Calibri" w:hAnsi="Calibri" w:cs="Calibri"/>
                <w:sz w:val="20"/>
                <w:szCs w:val="20"/>
              </w:rPr>
            </w:pPr>
            <w:r w:rsidRPr="009B5509">
              <w:rPr>
                <w:rFonts w:ascii="Calibri" w:hAnsi="Calibri" w:cs="Calibri"/>
                <w:sz w:val="20"/>
                <w:szCs w:val="20"/>
              </w:rPr>
              <w:t>Medicaid</w:t>
            </w:r>
          </w:p>
        </w:tc>
        <w:tc>
          <w:tcPr>
            <w:tcW w:w="1642" w:type="dxa"/>
            <w:vAlign w:val="bottom"/>
          </w:tcPr>
          <w:p w14:paraId="08696D6A" w14:textId="2785FD82" w:rsidR="004D34DD" w:rsidRPr="009B5509" w:rsidRDefault="004D34DD" w:rsidP="00FC3F61">
            <w:pPr>
              <w:pStyle w:val="NoSpacing"/>
              <w:jc w:val="right"/>
              <w:rPr>
                <w:sz w:val="20"/>
                <w:szCs w:val="20"/>
              </w:rPr>
            </w:pPr>
            <w:r w:rsidRPr="009B5509">
              <w:rPr>
                <w:sz w:val="20"/>
                <w:szCs w:val="20"/>
              </w:rPr>
              <w:t xml:space="preserve">            $10,339,175 </w:t>
            </w:r>
          </w:p>
        </w:tc>
        <w:tc>
          <w:tcPr>
            <w:tcW w:w="1643" w:type="dxa"/>
            <w:vAlign w:val="bottom"/>
          </w:tcPr>
          <w:p w14:paraId="4F973859" w14:textId="7094DE2D" w:rsidR="004D34DD" w:rsidRPr="009B5509" w:rsidRDefault="004D34DD" w:rsidP="00FC3F61">
            <w:pPr>
              <w:pStyle w:val="NoSpacing"/>
              <w:jc w:val="right"/>
              <w:rPr>
                <w:sz w:val="20"/>
                <w:szCs w:val="20"/>
              </w:rPr>
            </w:pPr>
            <w:r w:rsidRPr="009B5509">
              <w:rPr>
                <w:sz w:val="20"/>
                <w:szCs w:val="20"/>
              </w:rPr>
              <w:t xml:space="preserve">           $20,988,209 </w:t>
            </w:r>
          </w:p>
        </w:tc>
        <w:tc>
          <w:tcPr>
            <w:tcW w:w="1642" w:type="dxa"/>
            <w:vAlign w:val="bottom"/>
          </w:tcPr>
          <w:p w14:paraId="77599B0D" w14:textId="3DCED1DD" w:rsidR="004D34DD" w:rsidRPr="009B5509" w:rsidRDefault="004D34DD" w:rsidP="00FC3F61">
            <w:pPr>
              <w:pStyle w:val="NoSpacing"/>
              <w:jc w:val="right"/>
              <w:rPr>
                <w:sz w:val="20"/>
                <w:szCs w:val="20"/>
              </w:rPr>
            </w:pPr>
            <w:r w:rsidRPr="009B5509">
              <w:rPr>
                <w:sz w:val="20"/>
                <w:szCs w:val="20"/>
              </w:rPr>
              <w:t xml:space="preserve">$28,696,605 </w:t>
            </w:r>
          </w:p>
        </w:tc>
        <w:tc>
          <w:tcPr>
            <w:tcW w:w="1643" w:type="dxa"/>
            <w:vAlign w:val="bottom"/>
          </w:tcPr>
          <w:p w14:paraId="439E3111" w14:textId="5782103A" w:rsidR="004D34DD" w:rsidRPr="009B5509" w:rsidRDefault="004D34DD" w:rsidP="00FC3F61">
            <w:pPr>
              <w:pStyle w:val="NoSpacing"/>
              <w:jc w:val="right"/>
              <w:rPr>
                <w:sz w:val="20"/>
                <w:szCs w:val="20"/>
              </w:rPr>
            </w:pPr>
            <w:r w:rsidRPr="009B5509">
              <w:rPr>
                <w:sz w:val="20"/>
                <w:szCs w:val="20"/>
              </w:rPr>
              <w:t xml:space="preserve">    $60,023,989 </w:t>
            </w:r>
          </w:p>
        </w:tc>
        <w:tc>
          <w:tcPr>
            <w:tcW w:w="815" w:type="dxa"/>
            <w:vAlign w:val="bottom"/>
          </w:tcPr>
          <w:p w14:paraId="26CD3005" w14:textId="700B0333" w:rsidR="004D34DD" w:rsidRPr="009B5509" w:rsidRDefault="004D34DD" w:rsidP="00FC3F61">
            <w:pPr>
              <w:pStyle w:val="NoSpacing"/>
              <w:jc w:val="right"/>
              <w:rPr>
                <w:sz w:val="20"/>
                <w:szCs w:val="20"/>
              </w:rPr>
            </w:pPr>
            <w:r w:rsidRPr="009B5509">
              <w:rPr>
                <w:sz w:val="20"/>
                <w:szCs w:val="20"/>
              </w:rPr>
              <w:t>10%</w:t>
            </w:r>
          </w:p>
        </w:tc>
      </w:tr>
      <w:tr w:rsidR="009B5509" w:rsidRPr="009B5509" w14:paraId="62035206" w14:textId="77777777" w:rsidTr="002F2C79">
        <w:trPr>
          <w:jc w:val="center"/>
        </w:trPr>
        <w:tc>
          <w:tcPr>
            <w:tcW w:w="1975" w:type="dxa"/>
          </w:tcPr>
          <w:p w14:paraId="34970364" w14:textId="77777777" w:rsidR="004D34DD" w:rsidRPr="009B5509" w:rsidRDefault="004D34DD" w:rsidP="004D34DD">
            <w:pPr>
              <w:rPr>
                <w:rFonts w:ascii="Calibri" w:hAnsi="Calibri" w:cs="Calibri"/>
                <w:sz w:val="20"/>
                <w:szCs w:val="20"/>
              </w:rPr>
            </w:pPr>
            <w:r w:rsidRPr="009B5509">
              <w:rPr>
                <w:rFonts w:ascii="Calibri" w:hAnsi="Calibri" w:cs="Calibri"/>
                <w:sz w:val="20"/>
                <w:szCs w:val="20"/>
              </w:rPr>
              <w:t>Medicare</w:t>
            </w:r>
          </w:p>
        </w:tc>
        <w:tc>
          <w:tcPr>
            <w:tcW w:w="1642" w:type="dxa"/>
            <w:vAlign w:val="bottom"/>
          </w:tcPr>
          <w:p w14:paraId="2069D292" w14:textId="6CFEB4BB" w:rsidR="004D34DD" w:rsidRPr="009B5509" w:rsidRDefault="004D34DD" w:rsidP="00FC3F61">
            <w:pPr>
              <w:pStyle w:val="NoSpacing"/>
              <w:jc w:val="right"/>
              <w:rPr>
                <w:sz w:val="20"/>
                <w:szCs w:val="20"/>
              </w:rPr>
            </w:pPr>
            <w:r w:rsidRPr="009B5509">
              <w:rPr>
                <w:sz w:val="20"/>
                <w:szCs w:val="20"/>
              </w:rPr>
              <w:t xml:space="preserve">$11,869,912 </w:t>
            </w:r>
          </w:p>
        </w:tc>
        <w:tc>
          <w:tcPr>
            <w:tcW w:w="1643" w:type="dxa"/>
            <w:vAlign w:val="bottom"/>
          </w:tcPr>
          <w:p w14:paraId="16BFEA35" w14:textId="224FD9CD" w:rsidR="004D34DD" w:rsidRPr="009B5509" w:rsidRDefault="004D34DD" w:rsidP="00FC3F61">
            <w:pPr>
              <w:pStyle w:val="NoSpacing"/>
              <w:jc w:val="right"/>
              <w:rPr>
                <w:sz w:val="20"/>
                <w:szCs w:val="20"/>
              </w:rPr>
            </w:pPr>
            <w:r w:rsidRPr="009B5509">
              <w:rPr>
                <w:sz w:val="20"/>
                <w:szCs w:val="20"/>
              </w:rPr>
              <w:t xml:space="preserve">                 $494,174 </w:t>
            </w:r>
          </w:p>
        </w:tc>
        <w:tc>
          <w:tcPr>
            <w:tcW w:w="1642" w:type="dxa"/>
            <w:vAlign w:val="bottom"/>
          </w:tcPr>
          <w:p w14:paraId="5B88AB73" w14:textId="2ED44BB0" w:rsidR="004D34DD" w:rsidRPr="009B5509" w:rsidRDefault="004D34DD" w:rsidP="00FC3F61">
            <w:pPr>
              <w:pStyle w:val="NoSpacing"/>
              <w:jc w:val="right"/>
              <w:rPr>
                <w:sz w:val="20"/>
                <w:szCs w:val="20"/>
              </w:rPr>
            </w:pPr>
            <w:r w:rsidRPr="009B5509">
              <w:rPr>
                <w:sz w:val="20"/>
                <w:szCs w:val="20"/>
              </w:rPr>
              <w:t xml:space="preserve">                             $0   </w:t>
            </w:r>
          </w:p>
        </w:tc>
        <w:tc>
          <w:tcPr>
            <w:tcW w:w="1643" w:type="dxa"/>
            <w:vAlign w:val="bottom"/>
          </w:tcPr>
          <w:p w14:paraId="25263D76" w14:textId="297D4F6C" w:rsidR="004D34DD" w:rsidRPr="009B5509" w:rsidRDefault="004D34DD" w:rsidP="00FC3F61">
            <w:pPr>
              <w:pStyle w:val="NoSpacing"/>
              <w:jc w:val="right"/>
              <w:rPr>
                <w:sz w:val="20"/>
                <w:szCs w:val="20"/>
              </w:rPr>
            </w:pPr>
            <w:r w:rsidRPr="009B5509">
              <w:rPr>
                <w:sz w:val="20"/>
                <w:szCs w:val="20"/>
              </w:rPr>
              <w:t xml:space="preserve">            $12,364,086 </w:t>
            </w:r>
          </w:p>
        </w:tc>
        <w:tc>
          <w:tcPr>
            <w:tcW w:w="815" w:type="dxa"/>
            <w:vAlign w:val="bottom"/>
          </w:tcPr>
          <w:p w14:paraId="471093CF" w14:textId="16ED59C9" w:rsidR="004D34DD" w:rsidRPr="009B5509" w:rsidRDefault="004D34DD" w:rsidP="00FC3F61">
            <w:pPr>
              <w:pStyle w:val="NoSpacing"/>
              <w:jc w:val="right"/>
              <w:rPr>
                <w:sz w:val="20"/>
                <w:szCs w:val="20"/>
              </w:rPr>
            </w:pPr>
            <w:r w:rsidRPr="009B5509">
              <w:rPr>
                <w:sz w:val="20"/>
                <w:szCs w:val="20"/>
              </w:rPr>
              <w:t>2%</w:t>
            </w:r>
          </w:p>
        </w:tc>
      </w:tr>
      <w:tr w:rsidR="009B5509" w:rsidRPr="009B5509" w14:paraId="6F9E15EC" w14:textId="77777777" w:rsidTr="002F2C79">
        <w:trPr>
          <w:jc w:val="center"/>
        </w:trPr>
        <w:tc>
          <w:tcPr>
            <w:tcW w:w="1975" w:type="dxa"/>
          </w:tcPr>
          <w:p w14:paraId="346EAA9D" w14:textId="77777777" w:rsidR="004D34DD" w:rsidRPr="009B5509" w:rsidRDefault="004D34DD" w:rsidP="004D34DD">
            <w:pPr>
              <w:rPr>
                <w:rFonts w:ascii="Calibri" w:hAnsi="Calibri" w:cs="Calibri"/>
                <w:sz w:val="20"/>
                <w:szCs w:val="20"/>
              </w:rPr>
            </w:pPr>
            <w:r w:rsidRPr="009B5509">
              <w:rPr>
                <w:rFonts w:ascii="Calibri" w:hAnsi="Calibri" w:cs="Calibri"/>
                <w:sz w:val="20"/>
                <w:szCs w:val="20"/>
              </w:rPr>
              <w:t>Commercial Insurance</w:t>
            </w:r>
          </w:p>
        </w:tc>
        <w:tc>
          <w:tcPr>
            <w:tcW w:w="1642" w:type="dxa"/>
            <w:vAlign w:val="bottom"/>
          </w:tcPr>
          <w:p w14:paraId="14941B3C" w14:textId="45AEA185" w:rsidR="004D34DD" w:rsidRPr="009B5509" w:rsidRDefault="004D34DD" w:rsidP="00FC3F61">
            <w:pPr>
              <w:pStyle w:val="NoSpacing"/>
              <w:jc w:val="right"/>
              <w:rPr>
                <w:sz w:val="20"/>
                <w:szCs w:val="20"/>
              </w:rPr>
            </w:pPr>
            <w:r w:rsidRPr="009B5509">
              <w:rPr>
                <w:sz w:val="20"/>
                <w:szCs w:val="20"/>
              </w:rPr>
              <w:t xml:space="preserve">            $8,688,888 </w:t>
            </w:r>
          </w:p>
        </w:tc>
        <w:tc>
          <w:tcPr>
            <w:tcW w:w="1643" w:type="dxa"/>
            <w:vAlign w:val="bottom"/>
          </w:tcPr>
          <w:p w14:paraId="10E58A3E" w14:textId="5C74CD71" w:rsidR="004D34DD" w:rsidRPr="009B5509" w:rsidRDefault="004D34DD" w:rsidP="00FC3F61">
            <w:pPr>
              <w:pStyle w:val="NoSpacing"/>
              <w:jc w:val="right"/>
              <w:rPr>
                <w:sz w:val="20"/>
                <w:szCs w:val="20"/>
              </w:rPr>
            </w:pPr>
            <w:r w:rsidRPr="009B5509">
              <w:rPr>
                <w:sz w:val="20"/>
                <w:szCs w:val="20"/>
              </w:rPr>
              <w:t xml:space="preserve">             $25,480 </w:t>
            </w:r>
          </w:p>
        </w:tc>
        <w:tc>
          <w:tcPr>
            <w:tcW w:w="1642" w:type="dxa"/>
            <w:vAlign w:val="bottom"/>
          </w:tcPr>
          <w:p w14:paraId="50F51DE7" w14:textId="63EC837B" w:rsidR="004D34DD" w:rsidRPr="009B5509" w:rsidRDefault="004D34DD" w:rsidP="00FC3F61">
            <w:pPr>
              <w:pStyle w:val="NoSpacing"/>
              <w:jc w:val="right"/>
              <w:rPr>
                <w:sz w:val="20"/>
                <w:szCs w:val="20"/>
              </w:rPr>
            </w:pPr>
            <w:r w:rsidRPr="009B5509">
              <w:rPr>
                <w:sz w:val="20"/>
                <w:szCs w:val="20"/>
              </w:rPr>
              <w:t xml:space="preserve">                    $0   </w:t>
            </w:r>
          </w:p>
        </w:tc>
        <w:tc>
          <w:tcPr>
            <w:tcW w:w="1643" w:type="dxa"/>
            <w:vAlign w:val="bottom"/>
          </w:tcPr>
          <w:p w14:paraId="6688F54A" w14:textId="768A368A" w:rsidR="004D34DD" w:rsidRPr="009B5509" w:rsidRDefault="004D34DD" w:rsidP="00FC3F61">
            <w:pPr>
              <w:pStyle w:val="NoSpacing"/>
              <w:jc w:val="right"/>
              <w:rPr>
                <w:sz w:val="20"/>
                <w:szCs w:val="20"/>
              </w:rPr>
            </w:pPr>
            <w:r w:rsidRPr="009B5509">
              <w:rPr>
                <w:sz w:val="20"/>
                <w:szCs w:val="20"/>
              </w:rPr>
              <w:t xml:space="preserve">    </w:t>
            </w:r>
            <w:r w:rsidR="00FC3F61" w:rsidRPr="009B5509">
              <w:rPr>
                <w:sz w:val="20"/>
                <w:szCs w:val="20"/>
              </w:rPr>
              <w:t>$</w:t>
            </w:r>
            <w:r w:rsidRPr="009B5509">
              <w:rPr>
                <w:sz w:val="20"/>
                <w:szCs w:val="20"/>
              </w:rPr>
              <w:t xml:space="preserve">8,714,368 </w:t>
            </w:r>
          </w:p>
        </w:tc>
        <w:tc>
          <w:tcPr>
            <w:tcW w:w="815" w:type="dxa"/>
            <w:vAlign w:val="bottom"/>
          </w:tcPr>
          <w:p w14:paraId="2F3717F0" w14:textId="196B9F2E" w:rsidR="004D34DD" w:rsidRPr="009B5509" w:rsidRDefault="004D34DD" w:rsidP="00FC3F61">
            <w:pPr>
              <w:pStyle w:val="NoSpacing"/>
              <w:jc w:val="right"/>
              <w:rPr>
                <w:sz w:val="20"/>
                <w:szCs w:val="20"/>
              </w:rPr>
            </w:pPr>
            <w:r w:rsidRPr="009B5509">
              <w:rPr>
                <w:sz w:val="20"/>
                <w:szCs w:val="20"/>
              </w:rPr>
              <w:t>1%</w:t>
            </w:r>
          </w:p>
        </w:tc>
      </w:tr>
      <w:tr w:rsidR="009B5509" w:rsidRPr="009B5509" w14:paraId="3D55F192" w14:textId="77777777" w:rsidTr="002F2C79">
        <w:trPr>
          <w:jc w:val="center"/>
        </w:trPr>
        <w:tc>
          <w:tcPr>
            <w:tcW w:w="1975" w:type="dxa"/>
          </w:tcPr>
          <w:p w14:paraId="1EBBE05E" w14:textId="77777777" w:rsidR="004D34DD" w:rsidRPr="009B5509" w:rsidRDefault="004D34DD" w:rsidP="004D34DD">
            <w:pPr>
              <w:rPr>
                <w:rFonts w:ascii="Calibri" w:hAnsi="Calibri" w:cs="Calibri"/>
                <w:sz w:val="20"/>
                <w:szCs w:val="20"/>
              </w:rPr>
            </w:pPr>
            <w:r w:rsidRPr="009B5509">
              <w:rPr>
                <w:rFonts w:ascii="Calibri" w:hAnsi="Calibri" w:cs="Calibri"/>
                <w:sz w:val="20"/>
                <w:szCs w:val="20"/>
              </w:rPr>
              <w:t>Private Payments</w:t>
            </w:r>
          </w:p>
        </w:tc>
        <w:tc>
          <w:tcPr>
            <w:tcW w:w="1642" w:type="dxa"/>
            <w:vAlign w:val="bottom"/>
          </w:tcPr>
          <w:p w14:paraId="289B43B3" w14:textId="080E7DCC" w:rsidR="004D34DD" w:rsidRPr="009B5509" w:rsidRDefault="004D34DD" w:rsidP="00FC3F61">
            <w:pPr>
              <w:pStyle w:val="NoSpacing"/>
              <w:jc w:val="right"/>
              <w:rPr>
                <w:sz w:val="20"/>
                <w:szCs w:val="20"/>
              </w:rPr>
            </w:pPr>
            <w:r w:rsidRPr="009B5509">
              <w:rPr>
                <w:sz w:val="20"/>
                <w:szCs w:val="20"/>
              </w:rPr>
              <w:t xml:space="preserve">$2,907,261 </w:t>
            </w:r>
          </w:p>
        </w:tc>
        <w:tc>
          <w:tcPr>
            <w:tcW w:w="1643" w:type="dxa"/>
            <w:vAlign w:val="bottom"/>
          </w:tcPr>
          <w:p w14:paraId="678103CA" w14:textId="18A933F3" w:rsidR="004D34DD" w:rsidRPr="009B5509" w:rsidRDefault="004D34DD" w:rsidP="00FC3F61">
            <w:pPr>
              <w:pStyle w:val="NoSpacing"/>
              <w:jc w:val="right"/>
              <w:rPr>
                <w:sz w:val="20"/>
                <w:szCs w:val="20"/>
              </w:rPr>
            </w:pPr>
            <w:r w:rsidRPr="009B5509">
              <w:rPr>
                <w:sz w:val="20"/>
                <w:szCs w:val="20"/>
              </w:rPr>
              <w:t xml:space="preserve">                  $301,502 </w:t>
            </w:r>
          </w:p>
        </w:tc>
        <w:tc>
          <w:tcPr>
            <w:tcW w:w="1642" w:type="dxa"/>
            <w:vAlign w:val="bottom"/>
          </w:tcPr>
          <w:p w14:paraId="5B7B4D73" w14:textId="5077363B" w:rsidR="004D34DD" w:rsidRPr="009B5509" w:rsidRDefault="004D34DD" w:rsidP="00FC3F61">
            <w:pPr>
              <w:pStyle w:val="NoSpacing"/>
              <w:jc w:val="right"/>
              <w:rPr>
                <w:sz w:val="20"/>
                <w:szCs w:val="20"/>
              </w:rPr>
            </w:pPr>
            <w:r w:rsidRPr="009B5509">
              <w:rPr>
                <w:sz w:val="20"/>
                <w:szCs w:val="20"/>
              </w:rPr>
              <w:t xml:space="preserve">    $621,992 </w:t>
            </w:r>
          </w:p>
        </w:tc>
        <w:tc>
          <w:tcPr>
            <w:tcW w:w="1643" w:type="dxa"/>
            <w:vAlign w:val="bottom"/>
          </w:tcPr>
          <w:p w14:paraId="2457124A" w14:textId="23A7CE43" w:rsidR="004D34DD" w:rsidRPr="009B5509" w:rsidRDefault="004D34DD" w:rsidP="00FC3F61">
            <w:pPr>
              <w:pStyle w:val="NoSpacing"/>
              <w:jc w:val="right"/>
              <w:rPr>
                <w:sz w:val="20"/>
                <w:szCs w:val="20"/>
              </w:rPr>
            </w:pPr>
            <w:r w:rsidRPr="009B5509">
              <w:rPr>
                <w:sz w:val="20"/>
                <w:szCs w:val="20"/>
              </w:rPr>
              <w:t xml:space="preserve">             $3,830,755 </w:t>
            </w:r>
          </w:p>
        </w:tc>
        <w:tc>
          <w:tcPr>
            <w:tcW w:w="815" w:type="dxa"/>
            <w:vAlign w:val="bottom"/>
          </w:tcPr>
          <w:p w14:paraId="3B656EBC" w14:textId="2A8369A5" w:rsidR="004D34DD" w:rsidRPr="009B5509" w:rsidRDefault="004D34DD" w:rsidP="00FC3F61">
            <w:pPr>
              <w:pStyle w:val="NoSpacing"/>
              <w:jc w:val="right"/>
              <w:rPr>
                <w:sz w:val="20"/>
                <w:szCs w:val="20"/>
              </w:rPr>
            </w:pPr>
            <w:r w:rsidRPr="009B5509">
              <w:rPr>
                <w:sz w:val="20"/>
                <w:szCs w:val="20"/>
              </w:rPr>
              <w:t>1%</w:t>
            </w:r>
          </w:p>
        </w:tc>
      </w:tr>
      <w:tr w:rsidR="009B5509" w:rsidRPr="009B5509" w14:paraId="3FAA821F" w14:textId="77777777" w:rsidTr="002F2C79">
        <w:trPr>
          <w:jc w:val="center"/>
        </w:trPr>
        <w:tc>
          <w:tcPr>
            <w:tcW w:w="1975" w:type="dxa"/>
          </w:tcPr>
          <w:p w14:paraId="25214EA0" w14:textId="77777777" w:rsidR="004D34DD" w:rsidRPr="009B5509" w:rsidRDefault="004D34DD" w:rsidP="004D34DD">
            <w:pPr>
              <w:rPr>
                <w:rFonts w:ascii="Calibri" w:hAnsi="Calibri" w:cs="Calibri"/>
                <w:sz w:val="20"/>
                <w:szCs w:val="20"/>
              </w:rPr>
            </w:pPr>
            <w:r w:rsidRPr="009B5509">
              <w:rPr>
                <w:rFonts w:ascii="Calibri" w:hAnsi="Calibri" w:cs="Calibri"/>
                <w:sz w:val="20"/>
                <w:szCs w:val="20"/>
              </w:rPr>
              <w:t>Other Revenues</w:t>
            </w:r>
          </w:p>
        </w:tc>
        <w:tc>
          <w:tcPr>
            <w:tcW w:w="1642" w:type="dxa"/>
            <w:vAlign w:val="bottom"/>
          </w:tcPr>
          <w:p w14:paraId="09D208C6" w14:textId="2B4E7EFE" w:rsidR="004D34DD" w:rsidRPr="009B5509" w:rsidRDefault="004D34DD" w:rsidP="00FC3F61">
            <w:pPr>
              <w:pStyle w:val="NoSpacing"/>
              <w:jc w:val="right"/>
              <w:rPr>
                <w:sz w:val="20"/>
                <w:szCs w:val="20"/>
              </w:rPr>
            </w:pPr>
            <w:r w:rsidRPr="009B5509">
              <w:rPr>
                <w:sz w:val="20"/>
                <w:szCs w:val="20"/>
              </w:rPr>
              <w:t xml:space="preserve">                 $45,868 </w:t>
            </w:r>
          </w:p>
        </w:tc>
        <w:tc>
          <w:tcPr>
            <w:tcW w:w="1643" w:type="dxa"/>
            <w:vAlign w:val="bottom"/>
          </w:tcPr>
          <w:p w14:paraId="59A753B1" w14:textId="3CDD1229" w:rsidR="004D34DD" w:rsidRPr="009B5509" w:rsidRDefault="004D34DD" w:rsidP="00FC3F61">
            <w:pPr>
              <w:pStyle w:val="NoSpacing"/>
              <w:jc w:val="right"/>
              <w:rPr>
                <w:sz w:val="20"/>
                <w:szCs w:val="20"/>
              </w:rPr>
            </w:pPr>
            <w:r w:rsidRPr="009B5509">
              <w:rPr>
                <w:sz w:val="20"/>
                <w:szCs w:val="20"/>
              </w:rPr>
              <w:t xml:space="preserve">                     $6,673 </w:t>
            </w:r>
          </w:p>
        </w:tc>
        <w:tc>
          <w:tcPr>
            <w:tcW w:w="1642" w:type="dxa"/>
            <w:vAlign w:val="bottom"/>
          </w:tcPr>
          <w:p w14:paraId="03429D3F" w14:textId="198CDDBB" w:rsidR="004D34DD" w:rsidRPr="009B5509" w:rsidRDefault="004D34DD" w:rsidP="00FC3F61">
            <w:pPr>
              <w:pStyle w:val="NoSpacing"/>
              <w:jc w:val="right"/>
              <w:rPr>
                <w:sz w:val="20"/>
                <w:szCs w:val="20"/>
              </w:rPr>
            </w:pPr>
            <w:r w:rsidRPr="009B5509">
              <w:rPr>
                <w:sz w:val="20"/>
                <w:szCs w:val="20"/>
              </w:rPr>
              <w:t xml:space="preserve">             $169 </w:t>
            </w:r>
          </w:p>
        </w:tc>
        <w:tc>
          <w:tcPr>
            <w:tcW w:w="1643" w:type="dxa"/>
            <w:vAlign w:val="bottom"/>
          </w:tcPr>
          <w:p w14:paraId="2D973B9A" w14:textId="052C823B" w:rsidR="004D34DD" w:rsidRPr="009B5509" w:rsidRDefault="004D34DD" w:rsidP="00FC3F61">
            <w:pPr>
              <w:pStyle w:val="NoSpacing"/>
              <w:jc w:val="right"/>
              <w:rPr>
                <w:sz w:val="20"/>
                <w:szCs w:val="20"/>
              </w:rPr>
            </w:pPr>
            <w:r w:rsidRPr="009B5509">
              <w:rPr>
                <w:sz w:val="20"/>
                <w:szCs w:val="20"/>
              </w:rPr>
              <w:t xml:space="preserve"> $52,710 </w:t>
            </w:r>
          </w:p>
        </w:tc>
        <w:tc>
          <w:tcPr>
            <w:tcW w:w="815" w:type="dxa"/>
            <w:vAlign w:val="bottom"/>
          </w:tcPr>
          <w:p w14:paraId="1DD641E4" w14:textId="0FF88D27" w:rsidR="004D34DD" w:rsidRPr="009B5509" w:rsidRDefault="004D34DD" w:rsidP="00FC3F61">
            <w:pPr>
              <w:pStyle w:val="NoSpacing"/>
              <w:jc w:val="right"/>
              <w:rPr>
                <w:sz w:val="20"/>
                <w:szCs w:val="20"/>
              </w:rPr>
            </w:pPr>
            <w:r w:rsidRPr="009B5509">
              <w:rPr>
                <w:sz w:val="20"/>
                <w:szCs w:val="20"/>
              </w:rPr>
              <w:t>0%</w:t>
            </w:r>
          </w:p>
        </w:tc>
      </w:tr>
      <w:tr w:rsidR="009B5509" w:rsidRPr="009B5509" w14:paraId="028EB4AE" w14:textId="77777777" w:rsidTr="00E137B3">
        <w:trPr>
          <w:jc w:val="center"/>
        </w:trPr>
        <w:tc>
          <w:tcPr>
            <w:tcW w:w="1975" w:type="dxa"/>
          </w:tcPr>
          <w:p w14:paraId="0B4EC53E" w14:textId="77777777" w:rsidR="00FC3F61" w:rsidRPr="009B5509" w:rsidRDefault="00FC3F61" w:rsidP="00FC3F61">
            <w:pPr>
              <w:rPr>
                <w:rFonts w:ascii="Calibri" w:hAnsi="Calibri" w:cs="Calibri"/>
                <w:b/>
                <w:bCs/>
                <w:sz w:val="20"/>
                <w:szCs w:val="20"/>
              </w:rPr>
            </w:pPr>
            <w:r w:rsidRPr="009B5509">
              <w:rPr>
                <w:rFonts w:ascii="Calibri" w:hAnsi="Calibri" w:cs="Calibri"/>
                <w:b/>
                <w:bCs/>
                <w:sz w:val="20"/>
                <w:szCs w:val="20"/>
              </w:rPr>
              <w:t>Total Revenues</w:t>
            </w:r>
          </w:p>
        </w:tc>
        <w:tc>
          <w:tcPr>
            <w:tcW w:w="1642" w:type="dxa"/>
            <w:vAlign w:val="bottom"/>
          </w:tcPr>
          <w:p w14:paraId="67F1972A" w14:textId="4FC25623" w:rsidR="00FC3F61" w:rsidRPr="009B5509" w:rsidRDefault="00FC3F61" w:rsidP="00FC3F61">
            <w:pPr>
              <w:jc w:val="right"/>
              <w:rPr>
                <w:rFonts w:ascii="Calibri" w:hAnsi="Calibri" w:cs="Calibri"/>
                <w:sz w:val="20"/>
                <w:szCs w:val="20"/>
              </w:rPr>
            </w:pPr>
            <w:r w:rsidRPr="009B5509">
              <w:rPr>
                <w:rFonts w:ascii="Calibri" w:hAnsi="Calibri" w:cs="Calibri"/>
                <w:b/>
                <w:bCs/>
                <w:sz w:val="22"/>
                <w:szCs w:val="22"/>
              </w:rPr>
              <w:t xml:space="preserve">       $481,411,745 </w:t>
            </w:r>
          </w:p>
        </w:tc>
        <w:tc>
          <w:tcPr>
            <w:tcW w:w="1643" w:type="dxa"/>
          </w:tcPr>
          <w:p w14:paraId="3A411693" w14:textId="61D458FD" w:rsidR="00FC3F61" w:rsidRPr="009B5509" w:rsidRDefault="00FC3F61" w:rsidP="00FC3F61">
            <w:pPr>
              <w:jc w:val="right"/>
              <w:rPr>
                <w:rFonts w:ascii="Calibri" w:hAnsi="Calibri" w:cs="Calibri"/>
                <w:sz w:val="20"/>
                <w:szCs w:val="20"/>
              </w:rPr>
            </w:pPr>
            <w:r w:rsidRPr="009B5509">
              <w:rPr>
                <w:rFonts w:ascii="Calibri" w:hAnsi="Calibri" w:cs="Calibri"/>
                <w:b/>
                <w:bCs/>
                <w:sz w:val="22"/>
                <w:szCs w:val="22"/>
              </w:rPr>
              <w:t>$85,438,354</w:t>
            </w:r>
          </w:p>
        </w:tc>
        <w:tc>
          <w:tcPr>
            <w:tcW w:w="1642" w:type="dxa"/>
          </w:tcPr>
          <w:p w14:paraId="6E0BE9F4" w14:textId="2A66C50B" w:rsidR="00FC3F61" w:rsidRPr="009B5509" w:rsidRDefault="00FC3F61" w:rsidP="00FC3F61">
            <w:pPr>
              <w:jc w:val="right"/>
              <w:rPr>
                <w:rFonts w:ascii="Calibri" w:hAnsi="Calibri" w:cs="Calibri"/>
                <w:sz w:val="20"/>
                <w:szCs w:val="20"/>
              </w:rPr>
            </w:pPr>
            <w:r w:rsidRPr="009B5509">
              <w:rPr>
                <w:rFonts w:ascii="Calibri" w:hAnsi="Calibri" w:cs="Calibri"/>
                <w:b/>
                <w:bCs/>
                <w:sz w:val="22"/>
                <w:szCs w:val="22"/>
              </w:rPr>
              <w:t>$37,505,394</w:t>
            </w:r>
          </w:p>
        </w:tc>
        <w:tc>
          <w:tcPr>
            <w:tcW w:w="1643" w:type="dxa"/>
          </w:tcPr>
          <w:p w14:paraId="5A1B2CB3" w14:textId="43A1F663" w:rsidR="00FC3F61" w:rsidRPr="009B5509" w:rsidRDefault="00FC3F61" w:rsidP="00FC3F61">
            <w:pPr>
              <w:jc w:val="right"/>
              <w:rPr>
                <w:rFonts w:ascii="Calibri" w:hAnsi="Calibri" w:cs="Calibri"/>
                <w:sz w:val="20"/>
                <w:szCs w:val="20"/>
              </w:rPr>
            </w:pPr>
            <w:r w:rsidRPr="009B5509">
              <w:rPr>
                <w:rFonts w:ascii="Calibri" w:hAnsi="Calibri" w:cs="Calibri"/>
                <w:b/>
                <w:bCs/>
                <w:sz w:val="22"/>
                <w:szCs w:val="22"/>
              </w:rPr>
              <w:t>$604,355,493</w:t>
            </w:r>
          </w:p>
        </w:tc>
        <w:tc>
          <w:tcPr>
            <w:tcW w:w="815" w:type="dxa"/>
          </w:tcPr>
          <w:p w14:paraId="5F8EC0FE" w14:textId="03E596B3" w:rsidR="00FC3F61" w:rsidRPr="009B5509" w:rsidRDefault="00FC3F61" w:rsidP="00FC3F61">
            <w:pPr>
              <w:jc w:val="right"/>
              <w:rPr>
                <w:rFonts w:ascii="Calibri" w:hAnsi="Calibri" w:cs="Calibri"/>
                <w:b/>
                <w:bCs/>
                <w:sz w:val="20"/>
                <w:szCs w:val="20"/>
              </w:rPr>
            </w:pPr>
            <w:r w:rsidRPr="009B5509">
              <w:rPr>
                <w:rFonts w:ascii="Calibri" w:hAnsi="Calibri" w:cs="Calibri"/>
                <w:b/>
                <w:bCs/>
                <w:sz w:val="20"/>
                <w:szCs w:val="20"/>
              </w:rPr>
              <w:t>100%</w:t>
            </w:r>
          </w:p>
        </w:tc>
      </w:tr>
    </w:tbl>
    <w:p w14:paraId="21859EBC" w14:textId="4BAD6834" w:rsidR="006B0E3D" w:rsidRPr="006B0E3D" w:rsidRDefault="00FC3F61" w:rsidP="006B0E3D">
      <w:pPr>
        <w:pStyle w:val="NoSpacing"/>
        <w:ind w:left="180" w:hanging="180"/>
        <w:rPr>
          <w:rFonts w:ascii="Times New Roman" w:hAnsi="Times New Roman"/>
          <w:i/>
          <w:sz w:val="20"/>
          <w:szCs w:val="20"/>
        </w:rPr>
      </w:pPr>
      <w:r>
        <w:rPr>
          <w:rFonts w:ascii="Times New Roman" w:hAnsi="Times New Roman"/>
          <w:b/>
          <w:i/>
          <w:sz w:val="20"/>
          <w:szCs w:val="20"/>
          <w:vertAlign w:val="superscript"/>
        </w:rPr>
        <w:t>1</w:t>
      </w:r>
      <w:r w:rsidR="006B0E3D" w:rsidRPr="004D34DD">
        <w:rPr>
          <w:rFonts w:ascii="Times New Roman" w:hAnsi="Times New Roman"/>
          <w:i/>
          <w:sz w:val="20"/>
          <w:szCs w:val="20"/>
        </w:rPr>
        <w:t xml:space="preserve"> Other State Facilities are HDMC and VCBR.</w:t>
      </w:r>
    </w:p>
    <w:p w14:paraId="3DB25E36" w14:textId="5CA5DBE3" w:rsidR="00E265AE" w:rsidRPr="003F642B" w:rsidRDefault="005130BC" w:rsidP="00F46923">
      <w:pPr>
        <w:rPr>
          <w:b/>
          <w:sz w:val="32"/>
          <w:szCs w:val="32"/>
        </w:rPr>
      </w:pPr>
      <w:r>
        <w:rPr>
          <w:b/>
          <w:sz w:val="32"/>
          <w:szCs w:val="32"/>
        </w:rPr>
        <w:lastRenderedPageBreak/>
        <w:br/>
      </w:r>
      <w:r>
        <w:rPr>
          <w:b/>
          <w:sz w:val="32"/>
          <w:szCs w:val="32"/>
        </w:rPr>
        <w:br/>
      </w:r>
      <w:r w:rsidR="00E265AE" w:rsidRPr="003F642B">
        <w:rPr>
          <w:b/>
          <w:sz w:val="32"/>
          <w:szCs w:val="32"/>
        </w:rPr>
        <w:t xml:space="preserve">Expenditures by CSBs and </w:t>
      </w:r>
      <w:r w:rsidR="00E265AE">
        <w:rPr>
          <w:b/>
          <w:sz w:val="32"/>
          <w:szCs w:val="32"/>
        </w:rPr>
        <w:t>DBHDS</w:t>
      </w:r>
    </w:p>
    <w:p w14:paraId="7ED51175" w14:textId="77777777" w:rsidR="00E265AE" w:rsidRDefault="00E265AE" w:rsidP="00F46923">
      <w:pPr>
        <w:rPr>
          <w:b/>
        </w:rPr>
      </w:pPr>
    </w:p>
    <w:p w14:paraId="4F0BBF85" w14:textId="415E68C7" w:rsidR="00E265AE" w:rsidRPr="009B5509" w:rsidRDefault="00E265AE" w:rsidP="00F46923">
      <w:r w:rsidRPr="009B5509">
        <w:t>Figures 20 and 21, below, display expenditures reported by CSBs, state facilities, and the DBHDS central office.</w:t>
      </w:r>
      <w:r w:rsidR="005130BC">
        <w:t xml:space="preserve"> About 65 percent of central office funds </w:t>
      </w:r>
      <w:r w:rsidR="00B81ADA">
        <w:t>are spent on contracts for community services.</w:t>
      </w:r>
    </w:p>
    <w:p w14:paraId="10BF41A3" w14:textId="77777777" w:rsidR="00E265AE" w:rsidRPr="009B5509" w:rsidRDefault="00E265AE" w:rsidP="00F46923"/>
    <w:tbl>
      <w:tblPr>
        <w:tblW w:w="871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9" w:type="dxa"/>
          <w:right w:w="29" w:type="dxa"/>
        </w:tblCellMar>
        <w:tblLook w:val="00A0" w:firstRow="1" w:lastRow="0" w:firstColumn="1" w:lastColumn="0" w:noHBand="0" w:noVBand="0"/>
      </w:tblPr>
      <w:tblGrid>
        <w:gridCol w:w="1748"/>
        <w:gridCol w:w="1638"/>
        <w:gridCol w:w="1604"/>
        <w:gridCol w:w="1980"/>
        <w:gridCol w:w="1749"/>
      </w:tblGrid>
      <w:tr w:rsidR="00E265AE" w:rsidRPr="009B5509" w14:paraId="54260E7A" w14:textId="77777777" w:rsidTr="00A61A4B">
        <w:trPr>
          <w:jc w:val="center"/>
        </w:trPr>
        <w:tc>
          <w:tcPr>
            <w:tcW w:w="8719" w:type="dxa"/>
            <w:gridSpan w:val="5"/>
          </w:tcPr>
          <w:p w14:paraId="1445C869" w14:textId="76C045D7" w:rsidR="00E265AE" w:rsidRPr="009B5509" w:rsidRDefault="00E265AE" w:rsidP="00F46923">
            <w:pPr>
              <w:jc w:val="center"/>
              <w:rPr>
                <w:rFonts w:ascii="Calibri" w:hAnsi="Calibri" w:cs="Calibri"/>
                <w:b/>
                <w:sz w:val="20"/>
                <w:szCs w:val="20"/>
              </w:rPr>
            </w:pPr>
            <w:r w:rsidRPr="009B5509">
              <w:rPr>
                <w:rFonts w:ascii="Calibri" w:hAnsi="Calibri" w:cs="Calibri"/>
                <w:b/>
                <w:sz w:val="20"/>
                <w:szCs w:val="20"/>
              </w:rPr>
              <w:t>Figure 20:  FY 202</w:t>
            </w:r>
            <w:r w:rsidR="00F815D5" w:rsidRPr="009B5509">
              <w:rPr>
                <w:rFonts w:ascii="Calibri" w:hAnsi="Calibri" w:cs="Calibri"/>
                <w:b/>
                <w:sz w:val="20"/>
                <w:szCs w:val="20"/>
              </w:rPr>
              <w:t>2</w:t>
            </w:r>
            <w:r w:rsidRPr="009B5509">
              <w:rPr>
                <w:rFonts w:ascii="Calibri" w:hAnsi="Calibri" w:cs="Calibri"/>
                <w:b/>
                <w:sz w:val="20"/>
                <w:szCs w:val="20"/>
              </w:rPr>
              <w:t xml:space="preserve"> CSB Expenditures by Program Area</w:t>
            </w:r>
            <w:r w:rsidR="004F2684" w:rsidRPr="009B5509">
              <w:rPr>
                <w:rFonts w:ascii="Calibri" w:hAnsi="Calibri" w:cs="Calibri"/>
                <w:b/>
                <w:sz w:val="20"/>
                <w:szCs w:val="20"/>
              </w:rPr>
              <w:t xml:space="preserve"> </w:t>
            </w:r>
          </w:p>
        </w:tc>
      </w:tr>
      <w:tr w:rsidR="00E265AE" w:rsidRPr="009B5509" w14:paraId="099E7D4E" w14:textId="77777777" w:rsidTr="00A61A4B">
        <w:trPr>
          <w:jc w:val="center"/>
        </w:trPr>
        <w:tc>
          <w:tcPr>
            <w:tcW w:w="1748" w:type="dxa"/>
            <w:shd w:val="pct25" w:color="auto" w:fill="auto"/>
          </w:tcPr>
          <w:p w14:paraId="53065036" w14:textId="77777777" w:rsidR="00E265AE" w:rsidRPr="009B5509" w:rsidRDefault="00E265AE" w:rsidP="00F46923">
            <w:pPr>
              <w:jc w:val="center"/>
              <w:rPr>
                <w:rFonts w:ascii="Calibri" w:hAnsi="Calibri" w:cs="Calibri"/>
                <w:b/>
              </w:rPr>
            </w:pPr>
          </w:p>
        </w:tc>
        <w:tc>
          <w:tcPr>
            <w:tcW w:w="1638" w:type="dxa"/>
          </w:tcPr>
          <w:p w14:paraId="3440050E"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Mental Health</w:t>
            </w:r>
          </w:p>
          <w:p w14:paraId="170EB0F9"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Services</w:t>
            </w:r>
          </w:p>
        </w:tc>
        <w:tc>
          <w:tcPr>
            <w:tcW w:w="1604" w:type="dxa"/>
          </w:tcPr>
          <w:p w14:paraId="29A7ED7E"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Developmental</w:t>
            </w:r>
          </w:p>
          <w:p w14:paraId="2A4EB49F"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Services</w:t>
            </w:r>
          </w:p>
        </w:tc>
        <w:tc>
          <w:tcPr>
            <w:tcW w:w="1980" w:type="dxa"/>
          </w:tcPr>
          <w:p w14:paraId="2873F3EE"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Substance Use</w:t>
            </w:r>
          </w:p>
          <w:p w14:paraId="0361C5D6"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Disorder Services</w:t>
            </w:r>
          </w:p>
        </w:tc>
        <w:tc>
          <w:tcPr>
            <w:tcW w:w="1749" w:type="dxa"/>
          </w:tcPr>
          <w:p w14:paraId="58EF4416"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Total</w:t>
            </w:r>
          </w:p>
          <w:p w14:paraId="6E13D34F"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Expenditures</w:t>
            </w:r>
            <w:r w:rsidRPr="009B5509">
              <w:rPr>
                <w:rFonts w:ascii="Calibri" w:hAnsi="Calibri" w:cs="Calibri"/>
                <w:sz w:val="20"/>
                <w:szCs w:val="20"/>
                <w:vertAlign w:val="superscript"/>
              </w:rPr>
              <w:t>1</w:t>
            </w:r>
          </w:p>
        </w:tc>
      </w:tr>
      <w:tr w:rsidR="004F2684" w:rsidRPr="009B5509" w14:paraId="4F5C4579" w14:textId="77777777" w:rsidTr="00A61A4B">
        <w:trPr>
          <w:jc w:val="center"/>
        </w:trPr>
        <w:tc>
          <w:tcPr>
            <w:tcW w:w="1748" w:type="dxa"/>
          </w:tcPr>
          <w:p w14:paraId="2039D9B4" w14:textId="77777777" w:rsidR="004F2684" w:rsidRPr="009B5509" w:rsidRDefault="004F2684" w:rsidP="004F2684">
            <w:pPr>
              <w:rPr>
                <w:rFonts w:ascii="Calibri" w:hAnsi="Calibri" w:cs="Calibri"/>
                <w:sz w:val="20"/>
                <w:szCs w:val="20"/>
              </w:rPr>
            </w:pPr>
            <w:r w:rsidRPr="009B5509">
              <w:rPr>
                <w:rFonts w:ascii="Calibri" w:hAnsi="Calibri" w:cs="Calibri"/>
                <w:sz w:val="20"/>
                <w:szCs w:val="20"/>
              </w:rPr>
              <w:t>CSB Services</w:t>
            </w:r>
          </w:p>
        </w:tc>
        <w:tc>
          <w:tcPr>
            <w:tcW w:w="1638" w:type="dxa"/>
            <w:tcMar>
              <w:right w:w="58" w:type="dxa"/>
            </w:tcMar>
          </w:tcPr>
          <w:p w14:paraId="666182FD" w14:textId="6C266CD7" w:rsidR="004F2684" w:rsidRPr="009B5509" w:rsidRDefault="004F2684" w:rsidP="004F2684">
            <w:pPr>
              <w:jc w:val="right"/>
              <w:rPr>
                <w:rFonts w:ascii="Calibri" w:hAnsi="Calibri" w:cs="Calibri"/>
                <w:sz w:val="20"/>
                <w:szCs w:val="20"/>
              </w:rPr>
            </w:pPr>
            <w:r w:rsidRPr="009B5509">
              <w:rPr>
                <w:rFonts w:asciiTheme="minorHAnsi" w:hAnsiTheme="minorHAnsi" w:cstheme="minorHAnsi"/>
                <w:sz w:val="20"/>
                <w:szCs w:val="20"/>
              </w:rPr>
              <w:t>$727,588,569</w:t>
            </w:r>
          </w:p>
        </w:tc>
        <w:tc>
          <w:tcPr>
            <w:tcW w:w="1604" w:type="dxa"/>
            <w:tcMar>
              <w:right w:w="58" w:type="dxa"/>
            </w:tcMar>
          </w:tcPr>
          <w:p w14:paraId="45EB1161" w14:textId="0BF39581" w:rsidR="004F2684" w:rsidRPr="009B5509" w:rsidRDefault="004F2684" w:rsidP="004F2684">
            <w:pPr>
              <w:jc w:val="right"/>
              <w:rPr>
                <w:rFonts w:ascii="Calibri" w:hAnsi="Calibri" w:cs="Calibri"/>
                <w:sz w:val="20"/>
                <w:szCs w:val="20"/>
              </w:rPr>
            </w:pPr>
            <w:r w:rsidRPr="009B5509">
              <w:rPr>
                <w:rFonts w:asciiTheme="minorHAnsi" w:hAnsiTheme="minorHAnsi" w:cstheme="minorHAnsi"/>
                <w:sz w:val="20"/>
                <w:szCs w:val="20"/>
              </w:rPr>
              <w:t>$379,460,458</w:t>
            </w:r>
          </w:p>
        </w:tc>
        <w:tc>
          <w:tcPr>
            <w:tcW w:w="1980" w:type="dxa"/>
          </w:tcPr>
          <w:p w14:paraId="66069E89" w14:textId="1764B4D8" w:rsidR="004F2684" w:rsidRPr="009B5509" w:rsidRDefault="004F2684" w:rsidP="004F2684">
            <w:pPr>
              <w:jc w:val="right"/>
              <w:rPr>
                <w:rFonts w:ascii="Calibri" w:hAnsi="Calibri" w:cs="Calibri"/>
                <w:sz w:val="20"/>
                <w:szCs w:val="20"/>
              </w:rPr>
            </w:pPr>
            <w:r w:rsidRPr="009B5509">
              <w:rPr>
                <w:rFonts w:asciiTheme="minorHAnsi" w:hAnsiTheme="minorHAnsi" w:cstheme="minorHAnsi"/>
                <w:sz w:val="20"/>
                <w:szCs w:val="20"/>
              </w:rPr>
              <w:t>$202,294,444</w:t>
            </w:r>
          </w:p>
        </w:tc>
        <w:tc>
          <w:tcPr>
            <w:tcW w:w="1749" w:type="dxa"/>
            <w:tcMar>
              <w:right w:w="58" w:type="dxa"/>
            </w:tcMar>
          </w:tcPr>
          <w:p w14:paraId="26FCE7FB" w14:textId="2E703210" w:rsidR="004F2684" w:rsidRPr="009B5509" w:rsidRDefault="004F2684" w:rsidP="004F2684">
            <w:pPr>
              <w:jc w:val="right"/>
              <w:rPr>
                <w:rFonts w:ascii="Calibri" w:hAnsi="Calibri" w:cs="Calibri"/>
                <w:sz w:val="20"/>
                <w:szCs w:val="20"/>
              </w:rPr>
            </w:pPr>
            <w:r w:rsidRPr="009B5509">
              <w:rPr>
                <w:rFonts w:asciiTheme="minorHAnsi" w:hAnsiTheme="minorHAnsi" w:cstheme="minorHAnsi"/>
                <w:sz w:val="20"/>
                <w:szCs w:val="20"/>
              </w:rPr>
              <w:t>$1,309,343,471</w:t>
            </w:r>
          </w:p>
        </w:tc>
      </w:tr>
      <w:tr w:rsidR="004F2684" w:rsidRPr="009B5509" w14:paraId="70FFE9DF" w14:textId="77777777" w:rsidTr="00A61A4B">
        <w:trPr>
          <w:jc w:val="center"/>
        </w:trPr>
        <w:tc>
          <w:tcPr>
            <w:tcW w:w="1748" w:type="dxa"/>
          </w:tcPr>
          <w:p w14:paraId="21E22320" w14:textId="77777777" w:rsidR="004F2684" w:rsidRPr="009B5509" w:rsidRDefault="004F2684" w:rsidP="004F2684">
            <w:pPr>
              <w:rPr>
                <w:rFonts w:ascii="Calibri" w:hAnsi="Calibri" w:cs="Calibri"/>
                <w:sz w:val="20"/>
                <w:szCs w:val="20"/>
              </w:rPr>
            </w:pPr>
            <w:r w:rsidRPr="009B5509">
              <w:rPr>
                <w:rFonts w:ascii="Calibri" w:hAnsi="Calibri" w:cs="Calibri"/>
                <w:sz w:val="20"/>
                <w:szCs w:val="20"/>
              </w:rPr>
              <w:t>Percent of Total</w:t>
            </w:r>
          </w:p>
        </w:tc>
        <w:tc>
          <w:tcPr>
            <w:tcW w:w="1638" w:type="dxa"/>
            <w:tcMar>
              <w:right w:w="58" w:type="dxa"/>
            </w:tcMar>
          </w:tcPr>
          <w:p w14:paraId="7B6A593D" w14:textId="479B906C" w:rsidR="004F2684" w:rsidRPr="009B5509" w:rsidRDefault="004F2684" w:rsidP="004F2684">
            <w:pPr>
              <w:jc w:val="right"/>
              <w:rPr>
                <w:rFonts w:ascii="Calibri" w:hAnsi="Calibri" w:cs="Calibri"/>
                <w:sz w:val="20"/>
                <w:szCs w:val="20"/>
              </w:rPr>
            </w:pPr>
            <w:r w:rsidRPr="009B5509">
              <w:rPr>
                <w:rFonts w:asciiTheme="minorHAnsi" w:hAnsiTheme="minorHAnsi" w:cstheme="minorHAnsi"/>
                <w:sz w:val="20"/>
                <w:szCs w:val="20"/>
              </w:rPr>
              <w:t>55.57%</w:t>
            </w:r>
          </w:p>
        </w:tc>
        <w:tc>
          <w:tcPr>
            <w:tcW w:w="1604" w:type="dxa"/>
            <w:tcMar>
              <w:right w:w="58" w:type="dxa"/>
            </w:tcMar>
          </w:tcPr>
          <w:p w14:paraId="39EE7877" w14:textId="48D003C5" w:rsidR="004F2684" w:rsidRPr="009B5509" w:rsidRDefault="004F2684" w:rsidP="004F2684">
            <w:pPr>
              <w:jc w:val="right"/>
              <w:rPr>
                <w:rFonts w:ascii="Calibri" w:hAnsi="Calibri" w:cs="Calibri"/>
                <w:sz w:val="20"/>
                <w:szCs w:val="20"/>
              </w:rPr>
            </w:pPr>
            <w:r w:rsidRPr="009B5509">
              <w:rPr>
                <w:rFonts w:asciiTheme="minorHAnsi" w:hAnsiTheme="minorHAnsi" w:cstheme="minorHAnsi"/>
                <w:sz w:val="20"/>
                <w:szCs w:val="20"/>
              </w:rPr>
              <w:t>28.98%</w:t>
            </w:r>
          </w:p>
        </w:tc>
        <w:tc>
          <w:tcPr>
            <w:tcW w:w="1980" w:type="dxa"/>
          </w:tcPr>
          <w:p w14:paraId="0C903816" w14:textId="3D862C91" w:rsidR="004F2684" w:rsidRPr="009B5509" w:rsidRDefault="004F2684" w:rsidP="004F2684">
            <w:pPr>
              <w:jc w:val="right"/>
              <w:rPr>
                <w:rFonts w:ascii="Calibri" w:hAnsi="Calibri" w:cs="Calibri"/>
                <w:sz w:val="20"/>
                <w:szCs w:val="20"/>
              </w:rPr>
            </w:pPr>
            <w:r w:rsidRPr="009B5509">
              <w:rPr>
                <w:rFonts w:asciiTheme="minorHAnsi" w:hAnsiTheme="minorHAnsi" w:cstheme="minorHAnsi"/>
                <w:sz w:val="20"/>
                <w:szCs w:val="20"/>
              </w:rPr>
              <w:t>15.45%</w:t>
            </w:r>
          </w:p>
        </w:tc>
        <w:tc>
          <w:tcPr>
            <w:tcW w:w="1749" w:type="dxa"/>
            <w:tcMar>
              <w:right w:w="58" w:type="dxa"/>
            </w:tcMar>
          </w:tcPr>
          <w:p w14:paraId="13C46914" w14:textId="48E7705A" w:rsidR="004F2684" w:rsidRPr="009B5509" w:rsidRDefault="004F2684" w:rsidP="004F2684">
            <w:pPr>
              <w:jc w:val="right"/>
              <w:rPr>
                <w:rFonts w:ascii="Calibri" w:hAnsi="Calibri" w:cs="Calibri"/>
                <w:sz w:val="20"/>
                <w:szCs w:val="20"/>
              </w:rPr>
            </w:pPr>
            <w:r w:rsidRPr="009B5509">
              <w:rPr>
                <w:rFonts w:asciiTheme="minorHAnsi" w:hAnsiTheme="minorHAnsi" w:cstheme="minorHAnsi"/>
                <w:sz w:val="20"/>
                <w:szCs w:val="20"/>
              </w:rPr>
              <w:t>100.00%</w:t>
            </w:r>
          </w:p>
        </w:tc>
      </w:tr>
    </w:tbl>
    <w:p w14:paraId="2ED9B86B" w14:textId="27BC1D64" w:rsidR="009D4028" w:rsidRPr="009B5509" w:rsidRDefault="00E265AE" w:rsidP="009D4028">
      <w:pPr>
        <w:pStyle w:val="NoSpacing"/>
        <w:ind w:left="360"/>
        <w:rPr>
          <w:rFonts w:cs="Calibri"/>
          <w:i/>
          <w:sz w:val="18"/>
          <w:szCs w:val="18"/>
        </w:rPr>
      </w:pPr>
      <w:r w:rsidRPr="009B5509">
        <w:rPr>
          <w:rFonts w:cs="Calibri"/>
          <w:i/>
          <w:sz w:val="18"/>
          <w:szCs w:val="18"/>
          <w:vertAlign w:val="superscript"/>
        </w:rPr>
        <w:t>1</w:t>
      </w:r>
      <w:r w:rsidR="009D4028" w:rsidRPr="009B5509">
        <w:rPr>
          <w:rFonts w:cs="Calibri"/>
          <w:i/>
          <w:sz w:val="18"/>
          <w:szCs w:val="18"/>
        </w:rPr>
        <w:t>This figure includes $167,988,614 for CSB administrative expenses, 12.83 percent of the total CSB</w:t>
      </w:r>
    </w:p>
    <w:p w14:paraId="24BC0667" w14:textId="7184B8FC" w:rsidR="00E265AE" w:rsidRPr="009B5509" w:rsidRDefault="009D4028" w:rsidP="009D4028">
      <w:pPr>
        <w:pStyle w:val="NoSpacing"/>
        <w:ind w:left="360"/>
        <w:rPr>
          <w:rFonts w:cs="Calibri"/>
          <w:i/>
          <w:sz w:val="18"/>
          <w:szCs w:val="18"/>
        </w:rPr>
      </w:pPr>
      <w:r w:rsidRPr="009B5509">
        <w:rPr>
          <w:rFonts w:cs="Calibri"/>
          <w:i/>
          <w:sz w:val="18"/>
          <w:szCs w:val="18"/>
        </w:rPr>
        <w:t>expenditures.</w:t>
      </w:r>
    </w:p>
    <w:p w14:paraId="5C4E5098" w14:textId="77777777" w:rsidR="00E265AE" w:rsidRPr="009B5509" w:rsidRDefault="00E265AE" w:rsidP="00F46923">
      <w:pPr>
        <w:rPr>
          <w:rFonts w:ascii="Calibri" w:hAnsi="Calibri" w:cs="Calibri"/>
        </w:rPr>
      </w:pPr>
    </w:p>
    <w:tbl>
      <w:tblPr>
        <w:tblW w:w="869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8" w:type="dxa"/>
          <w:right w:w="58" w:type="dxa"/>
        </w:tblCellMar>
        <w:tblLook w:val="00A0" w:firstRow="1" w:lastRow="0" w:firstColumn="1" w:lastColumn="0" w:noHBand="0" w:noVBand="0"/>
      </w:tblPr>
      <w:tblGrid>
        <w:gridCol w:w="4264"/>
        <w:gridCol w:w="2452"/>
        <w:gridCol w:w="1980"/>
      </w:tblGrid>
      <w:tr w:rsidR="00E265AE" w:rsidRPr="009B5509" w14:paraId="3BCC7A1D" w14:textId="77777777" w:rsidTr="00A61A4B">
        <w:trPr>
          <w:jc w:val="center"/>
        </w:trPr>
        <w:tc>
          <w:tcPr>
            <w:tcW w:w="8696" w:type="dxa"/>
            <w:gridSpan w:val="3"/>
          </w:tcPr>
          <w:p w14:paraId="4376B361" w14:textId="195C8F1F" w:rsidR="00E265AE" w:rsidRPr="009B5509" w:rsidRDefault="00E265AE" w:rsidP="00F46923">
            <w:pPr>
              <w:jc w:val="center"/>
              <w:rPr>
                <w:rFonts w:ascii="Calibri" w:hAnsi="Calibri" w:cs="Calibri"/>
                <w:sz w:val="20"/>
                <w:szCs w:val="20"/>
              </w:rPr>
            </w:pPr>
            <w:r w:rsidRPr="009B5509">
              <w:rPr>
                <w:rFonts w:ascii="Calibri" w:hAnsi="Calibri" w:cs="Calibri"/>
                <w:b/>
                <w:sz w:val="20"/>
                <w:szCs w:val="20"/>
              </w:rPr>
              <w:t>Figure 21:  FY 202</w:t>
            </w:r>
            <w:r w:rsidR="00F815D5" w:rsidRPr="009B5509">
              <w:rPr>
                <w:rFonts w:ascii="Calibri" w:hAnsi="Calibri" w:cs="Calibri"/>
                <w:b/>
                <w:sz w:val="20"/>
                <w:szCs w:val="20"/>
              </w:rPr>
              <w:t>2</w:t>
            </w:r>
            <w:r w:rsidRPr="009B5509">
              <w:rPr>
                <w:rFonts w:ascii="Calibri" w:hAnsi="Calibri" w:cs="Calibri"/>
                <w:b/>
                <w:sz w:val="20"/>
                <w:szCs w:val="20"/>
              </w:rPr>
              <w:t xml:space="preserve"> State Facility and Central Office Expenditures</w:t>
            </w:r>
          </w:p>
        </w:tc>
      </w:tr>
      <w:tr w:rsidR="00E265AE" w:rsidRPr="00D85B34" w14:paraId="67D8FE24" w14:textId="77777777" w:rsidTr="00A61A4B">
        <w:trPr>
          <w:trHeight w:val="50"/>
          <w:jc w:val="center"/>
        </w:trPr>
        <w:tc>
          <w:tcPr>
            <w:tcW w:w="4264" w:type="dxa"/>
            <w:shd w:val="pct25" w:color="auto" w:fill="auto"/>
          </w:tcPr>
          <w:p w14:paraId="2E757743" w14:textId="77777777" w:rsidR="00E265AE" w:rsidRPr="009B5509" w:rsidRDefault="00E265AE" w:rsidP="00F46923">
            <w:pPr>
              <w:rPr>
                <w:rFonts w:ascii="Calibri" w:hAnsi="Calibri" w:cs="Calibri"/>
                <w:sz w:val="20"/>
                <w:szCs w:val="20"/>
              </w:rPr>
            </w:pPr>
          </w:p>
        </w:tc>
        <w:tc>
          <w:tcPr>
            <w:tcW w:w="2452" w:type="dxa"/>
          </w:tcPr>
          <w:p w14:paraId="6B6D1F2D" w14:textId="77777777" w:rsidR="00E265AE" w:rsidRPr="009B5509" w:rsidRDefault="00E265AE" w:rsidP="00F46923">
            <w:pPr>
              <w:jc w:val="center"/>
              <w:rPr>
                <w:rFonts w:ascii="Calibri" w:hAnsi="Calibri" w:cs="Calibri"/>
                <w:sz w:val="20"/>
                <w:szCs w:val="20"/>
              </w:rPr>
            </w:pPr>
            <w:r w:rsidRPr="009B5509">
              <w:rPr>
                <w:rFonts w:ascii="Calibri" w:hAnsi="Calibri" w:cs="Calibri"/>
                <w:sz w:val="20"/>
                <w:szCs w:val="20"/>
              </w:rPr>
              <w:t>Expenses</w:t>
            </w:r>
          </w:p>
        </w:tc>
        <w:tc>
          <w:tcPr>
            <w:tcW w:w="1980" w:type="dxa"/>
          </w:tcPr>
          <w:p w14:paraId="5451F962" w14:textId="039FBD7F" w:rsidR="00E265AE" w:rsidRPr="00D85B34" w:rsidRDefault="00E265AE" w:rsidP="00F46923">
            <w:pPr>
              <w:jc w:val="center"/>
              <w:rPr>
                <w:rFonts w:ascii="Calibri" w:hAnsi="Calibri" w:cs="Calibri"/>
                <w:sz w:val="20"/>
                <w:szCs w:val="20"/>
              </w:rPr>
            </w:pPr>
            <w:r w:rsidRPr="009B5509">
              <w:rPr>
                <w:rFonts w:ascii="Calibri" w:hAnsi="Calibri" w:cs="Calibri"/>
                <w:sz w:val="20"/>
                <w:szCs w:val="20"/>
              </w:rPr>
              <w:t xml:space="preserve">Percent </w:t>
            </w:r>
            <w:r w:rsidR="007748F2" w:rsidRPr="009B5509">
              <w:rPr>
                <w:rFonts w:ascii="Calibri" w:hAnsi="Calibri" w:cs="Calibri"/>
                <w:sz w:val="20"/>
                <w:szCs w:val="20"/>
              </w:rPr>
              <w:br/>
            </w:r>
            <w:r w:rsidRPr="009B5509">
              <w:rPr>
                <w:rFonts w:ascii="Calibri" w:hAnsi="Calibri" w:cs="Calibri"/>
                <w:sz w:val="20"/>
                <w:szCs w:val="20"/>
              </w:rPr>
              <w:t>of Total</w:t>
            </w:r>
          </w:p>
        </w:tc>
      </w:tr>
      <w:tr w:rsidR="00D85B34" w:rsidRPr="00D85B34" w14:paraId="3AF8227A" w14:textId="77777777" w:rsidTr="00CD1D20">
        <w:trPr>
          <w:jc w:val="center"/>
        </w:trPr>
        <w:tc>
          <w:tcPr>
            <w:tcW w:w="4264" w:type="dxa"/>
          </w:tcPr>
          <w:p w14:paraId="0A9A873E" w14:textId="77777777" w:rsidR="00D85B34" w:rsidRPr="00D85B34" w:rsidRDefault="00D85B34" w:rsidP="00F46923">
            <w:pPr>
              <w:rPr>
                <w:rFonts w:ascii="Calibri" w:hAnsi="Calibri" w:cs="Calibri"/>
                <w:sz w:val="20"/>
                <w:szCs w:val="20"/>
              </w:rPr>
            </w:pPr>
            <w:r w:rsidRPr="00D85B34">
              <w:rPr>
                <w:rFonts w:ascii="Calibri" w:hAnsi="Calibri" w:cs="Calibri"/>
                <w:sz w:val="20"/>
                <w:szCs w:val="20"/>
              </w:rPr>
              <w:t>State Hospitals</w:t>
            </w:r>
          </w:p>
        </w:tc>
        <w:tc>
          <w:tcPr>
            <w:tcW w:w="2452" w:type="dxa"/>
            <w:vAlign w:val="bottom"/>
          </w:tcPr>
          <w:p w14:paraId="65431908" w14:textId="1CA6765F" w:rsidR="00D85B34" w:rsidRPr="009B5509" w:rsidRDefault="00D85B34" w:rsidP="00F46923">
            <w:pPr>
              <w:jc w:val="right"/>
              <w:rPr>
                <w:rFonts w:ascii="Calibri" w:hAnsi="Calibri" w:cs="Calibri"/>
                <w:sz w:val="20"/>
                <w:szCs w:val="20"/>
              </w:rPr>
            </w:pPr>
            <w:r w:rsidRPr="009B5509">
              <w:rPr>
                <w:rFonts w:ascii="Calibri" w:hAnsi="Calibri" w:cs="Calibri"/>
                <w:sz w:val="20"/>
                <w:szCs w:val="20"/>
              </w:rPr>
              <w:t xml:space="preserve">                      $</w:t>
            </w:r>
            <w:r w:rsidR="009D4028" w:rsidRPr="009B5509">
              <w:rPr>
                <w:rFonts w:ascii="Calibri" w:hAnsi="Calibri" w:cs="Calibri"/>
                <w:sz w:val="20"/>
                <w:szCs w:val="20"/>
                <w:shd w:val="clear" w:color="auto" w:fill="FFFFFF"/>
              </w:rPr>
              <w:t>480,079,527</w:t>
            </w:r>
          </w:p>
        </w:tc>
        <w:tc>
          <w:tcPr>
            <w:tcW w:w="1980" w:type="dxa"/>
            <w:vAlign w:val="bottom"/>
          </w:tcPr>
          <w:p w14:paraId="5A243AFF" w14:textId="6C64B8AE" w:rsidR="00D85B34" w:rsidRPr="009B5509" w:rsidRDefault="00D85B34" w:rsidP="00F46923">
            <w:pPr>
              <w:jc w:val="right"/>
              <w:rPr>
                <w:rFonts w:ascii="Calibri" w:hAnsi="Calibri" w:cs="Calibri"/>
                <w:sz w:val="20"/>
                <w:szCs w:val="20"/>
              </w:rPr>
            </w:pPr>
            <w:r w:rsidRPr="009B5509">
              <w:rPr>
                <w:rFonts w:ascii="Calibri" w:hAnsi="Calibri" w:cs="Calibri"/>
                <w:bCs/>
                <w:sz w:val="20"/>
                <w:szCs w:val="20"/>
              </w:rPr>
              <w:t>63%</w:t>
            </w:r>
          </w:p>
        </w:tc>
      </w:tr>
      <w:tr w:rsidR="00D85B34" w:rsidRPr="00D85B34" w14:paraId="17078A4D" w14:textId="77777777" w:rsidTr="00CD1D20">
        <w:trPr>
          <w:jc w:val="center"/>
        </w:trPr>
        <w:tc>
          <w:tcPr>
            <w:tcW w:w="4264" w:type="dxa"/>
          </w:tcPr>
          <w:p w14:paraId="5C4F73FE" w14:textId="77777777" w:rsidR="00D85B34" w:rsidRPr="00D85B34" w:rsidRDefault="00D85B34" w:rsidP="00F46923">
            <w:pPr>
              <w:rPr>
                <w:rFonts w:ascii="Calibri" w:hAnsi="Calibri" w:cs="Calibri"/>
                <w:sz w:val="20"/>
                <w:szCs w:val="20"/>
              </w:rPr>
            </w:pPr>
            <w:r w:rsidRPr="00D85B34">
              <w:rPr>
                <w:rFonts w:ascii="Calibri" w:hAnsi="Calibri" w:cs="Calibri"/>
                <w:sz w:val="20"/>
                <w:szCs w:val="20"/>
              </w:rPr>
              <w:t>Other State Facilities</w:t>
            </w:r>
            <w:r w:rsidRPr="00D85B34">
              <w:rPr>
                <w:rFonts w:ascii="Calibri" w:hAnsi="Calibri" w:cs="Calibri"/>
                <w:sz w:val="20"/>
                <w:szCs w:val="20"/>
                <w:vertAlign w:val="superscript"/>
              </w:rPr>
              <w:t>1</w:t>
            </w:r>
          </w:p>
        </w:tc>
        <w:tc>
          <w:tcPr>
            <w:tcW w:w="2452" w:type="dxa"/>
            <w:vAlign w:val="bottom"/>
          </w:tcPr>
          <w:p w14:paraId="6F21B0A9" w14:textId="4A173755" w:rsidR="00D85B34" w:rsidRPr="009B5509" w:rsidRDefault="00D85B34" w:rsidP="00F46923">
            <w:pPr>
              <w:jc w:val="right"/>
              <w:rPr>
                <w:rFonts w:ascii="Calibri" w:hAnsi="Calibri" w:cs="Calibri"/>
                <w:sz w:val="20"/>
                <w:szCs w:val="20"/>
              </w:rPr>
            </w:pPr>
            <w:r w:rsidRPr="009B5509">
              <w:rPr>
                <w:rFonts w:ascii="Calibri" w:hAnsi="Calibri" w:cs="Calibri"/>
                <w:sz w:val="20"/>
                <w:szCs w:val="20"/>
              </w:rPr>
              <w:t xml:space="preserve">                        $</w:t>
            </w:r>
            <w:r w:rsidR="009D4028" w:rsidRPr="009B5509">
              <w:rPr>
                <w:rFonts w:ascii="Calibri" w:hAnsi="Calibri" w:cs="Calibri"/>
                <w:sz w:val="20"/>
                <w:szCs w:val="20"/>
                <w:shd w:val="clear" w:color="auto" w:fill="FFFFFF"/>
              </w:rPr>
              <w:t>80,764,979</w:t>
            </w:r>
          </w:p>
        </w:tc>
        <w:tc>
          <w:tcPr>
            <w:tcW w:w="1980" w:type="dxa"/>
            <w:vAlign w:val="bottom"/>
          </w:tcPr>
          <w:p w14:paraId="7A8337FB" w14:textId="5AB9BA55" w:rsidR="00D85B34" w:rsidRPr="009B5509" w:rsidRDefault="00D85B34" w:rsidP="00F46923">
            <w:pPr>
              <w:jc w:val="right"/>
              <w:rPr>
                <w:rFonts w:ascii="Calibri" w:hAnsi="Calibri" w:cs="Calibri"/>
                <w:sz w:val="20"/>
                <w:szCs w:val="20"/>
              </w:rPr>
            </w:pPr>
            <w:r w:rsidRPr="009B5509">
              <w:rPr>
                <w:rFonts w:ascii="Calibri" w:hAnsi="Calibri" w:cs="Calibri"/>
                <w:bCs/>
                <w:sz w:val="20"/>
                <w:szCs w:val="20"/>
              </w:rPr>
              <w:t>11%</w:t>
            </w:r>
          </w:p>
        </w:tc>
      </w:tr>
      <w:tr w:rsidR="00D85B34" w:rsidRPr="00D85B34" w14:paraId="26E5B35B" w14:textId="77777777" w:rsidTr="00CD1D20">
        <w:trPr>
          <w:jc w:val="center"/>
        </w:trPr>
        <w:tc>
          <w:tcPr>
            <w:tcW w:w="4264" w:type="dxa"/>
          </w:tcPr>
          <w:p w14:paraId="17517807" w14:textId="77777777" w:rsidR="00D85B34" w:rsidRPr="00D85B34" w:rsidRDefault="00D85B34" w:rsidP="00F46923">
            <w:pPr>
              <w:rPr>
                <w:rFonts w:ascii="Calibri" w:hAnsi="Calibri" w:cs="Calibri"/>
                <w:sz w:val="20"/>
                <w:szCs w:val="20"/>
              </w:rPr>
            </w:pPr>
            <w:r w:rsidRPr="00D85B34">
              <w:rPr>
                <w:rFonts w:ascii="Calibri" w:hAnsi="Calibri" w:cs="Calibri"/>
                <w:sz w:val="20"/>
                <w:szCs w:val="20"/>
              </w:rPr>
              <w:t>Training Centers</w:t>
            </w:r>
          </w:p>
        </w:tc>
        <w:tc>
          <w:tcPr>
            <w:tcW w:w="2452" w:type="dxa"/>
            <w:vAlign w:val="bottom"/>
          </w:tcPr>
          <w:p w14:paraId="2B766608" w14:textId="77B298C2" w:rsidR="00D85B34" w:rsidRPr="009B5509" w:rsidRDefault="00D85B34" w:rsidP="00F46923">
            <w:pPr>
              <w:jc w:val="right"/>
              <w:rPr>
                <w:rFonts w:ascii="Calibri" w:hAnsi="Calibri" w:cs="Calibri"/>
                <w:sz w:val="20"/>
                <w:szCs w:val="20"/>
              </w:rPr>
            </w:pPr>
            <w:r w:rsidRPr="009B5509">
              <w:rPr>
                <w:rFonts w:ascii="Calibri" w:hAnsi="Calibri" w:cs="Calibri"/>
                <w:sz w:val="20"/>
                <w:szCs w:val="20"/>
              </w:rPr>
              <w:t xml:space="preserve">                        $</w:t>
            </w:r>
            <w:r w:rsidR="009D4028" w:rsidRPr="009B5509">
              <w:rPr>
                <w:rFonts w:ascii="Calibri" w:hAnsi="Calibri" w:cs="Calibri"/>
                <w:sz w:val="20"/>
                <w:szCs w:val="20"/>
                <w:shd w:val="clear" w:color="auto" w:fill="FFFFFF"/>
              </w:rPr>
              <w:t>30,932,844</w:t>
            </w:r>
            <w:r w:rsidRPr="009B5509">
              <w:rPr>
                <w:rFonts w:ascii="Calibri" w:hAnsi="Calibri" w:cs="Calibri"/>
                <w:sz w:val="20"/>
                <w:szCs w:val="20"/>
              </w:rPr>
              <w:t xml:space="preserve"> </w:t>
            </w:r>
          </w:p>
        </w:tc>
        <w:tc>
          <w:tcPr>
            <w:tcW w:w="1980" w:type="dxa"/>
            <w:vAlign w:val="bottom"/>
          </w:tcPr>
          <w:p w14:paraId="7835114D" w14:textId="689488DF" w:rsidR="00D85B34" w:rsidRPr="009B5509" w:rsidRDefault="00D85B34" w:rsidP="00F46923">
            <w:pPr>
              <w:jc w:val="right"/>
              <w:rPr>
                <w:rFonts w:ascii="Calibri" w:hAnsi="Calibri" w:cs="Calibri"/>
                <w:sz w:val="20"/>
                <w:szCs w:val="20"/>
              </w:rPr>
            </w:pPr>
            <w:r w:rsidRPr="009B5509">
              <w:rPr>
                <w:rFonts w:ascii="Calibri" w:hAnsi="Calibri" w:cs="Calibri"/>
                <w:bCs/>
                <w:sz w:val="20"/>
                <w:szCs w:val="20"/>
              </w:rPr>
              <w:t>4%</w:t>
            </w:r>
          </w:p>
        </w:tc>
      </w:tr>
      <w:tr w:rsidR="00D85B34" w:rsidRPr="00D85B34" w14:paraId="30A70D9E" w14:textId="77777777" w:rsidTr="00CD1D20">
        <w:trPr>
          <w:jc w:val="center"/>
        </w:trPr>
        <w:tc>
          <w:tcPr>
            <w:tcW w:w="4264" w:type="dxa"/>
          </w:tcPr>
          <w:p w14:paraId="551E719D" w14:textId="43DEE598" w:rsidR="00D85B34" w:rsidRPr="00D85B34" w:rsidRDefault="00D85B34" w:rsidP="00F46923">
            <w:pPr>
              <w:rPr>
                <w:rFonts w:ascii="Calibri" w:hAnsi="Calibri" w:cs="Calibri"/>
                <w:sz w:val="20"/>
                <w:szCs w:val="20"/>
              </w:rPr>
            </w:pPr>
            <w:r w:rsidRPr="00D85B34">
              <w:rPr>
                <w:rFonts w:ascii="Calibri" w:hAnsi="Calibri" w:cs="Calibri"/>
                <w:sz w:val="20"/>
                <w:szCs w:val="20"/>
              </w:rPr>
              <w:t>Central Office</w:t>
            </w:r>
          </w:p>
        </w:tc>
        <w:tc>
          <w:tcPr>
            <w:tcW w:w="2452" w:type="dxa"/>
            <w:vAlign w:val="bottom"/>
          </w:tcPr>
          <w:p w14:paraId="0BF97FC9" w14:textId="199B455D" w:rsidR="00D85B34" w:rsidRPr="009B5509" w:rsidRDefault="00D85B34" w:rsidP="00F46923">
            <w:pPr>
              <w:jc w:val="right"/>
              <w:rPr>
                <w:rFonts w:ascii="Calibri" w:hAnsi="Calibri" w:cs="Calibri"/>
                <w:sz w:val="20"/>
                <w:szCs w:val="20"/>
              </w:rPr>
            </w:pPr>
            <w:r w:rsidRPr="009B5509">
              <w:rPr>
                <w:rFonts w:ascii="Calibri" w:hAnsi="Calibri" w:cs="Calibri"/>
                <w:sz w:val="20"/>
                <w:szCs w:val="20"/>
              </w:rPr>
              <w:t xml:space="preserve">                      $</w:t>
            </w:r>
            <w:r w:rsidR="009D4028" w:rsidRPr="009B5509">
              <w:rPr>
                <w:rFonts w:ascii="Calibri" w:hAnsi="Calibri" w:cs="Calibri"/>
                <w:sz w:val="20"/>
                <w:szCs w:val="20"/>
                <w:shd w:val="clear" w:color="auto" w:fill="FFFFFF"/>
              </w:rPr>
              <w:t>172,484,241</w:t>
            </w:r>
          </w:p>
        </w:tc>
        <w:tc>
          <w:tcPr>
            <w:tcW w:w="1980" w:type="dxa"/>
            <w:vAlign w:val="bottom"/>
          </w:tcPr>
          <w:p w14:paraId="7DA7FD22" w14:textId="104ACAAA" w:rsidR="00D85B34" w:rsidRPr="009B5509" w:rsidRDefault="00D85B34" w:rsidP="00F46923">
            <w:pPr>
              <w:jc w:val="right"/>
              <w:rPr>
                <w:rFonts w:ascii="Calibri" w:hAnsi="Calibri" w:cs="Calibri"/>
                <w:sz w:val="20"/>
                <w:szCs w:val="20"/>
              </w:rPr>
            </w:pPr>
            <w:r w:rsidRPr="009B5509">
              <w:rPr>
                <w:rFonts w:ascii="Calibri" w:hAnsi="Calibri" w:cs="Calibri"/>
                <w:bCs/>
                <w:sz w:val="20"/>
                <w:szCs w:val="20"/>
              </w:rPr>
              <w:t>22%</w:t>
            </w:r>
          </w:p>
        </w:tc>
      </w:tr>
      <w:tr w:rsidR="00E265AE" w:rsidRPr="00D85B34" w14:paraId="7E342808" w14:textId="77777777" w:rsidTr="00A61A4B">
        <w:trPr>
          <w:jc w:val="center"/>
        </w:trPr>
        <w:tc>
          <w:tcPr>
            <w:tcW w:w="4264" w:type="dxa"/>
          </w:tcPr>
          <w:p w14:paraId="13C24170" w14:textId="77777777" w:rsidR="00E265AE" w:rsidRPr="00D85B34" w:rsidRDefault="00E265AE" w:rsidP="00F46923">
            <w:pPr>
              <w:rPr>
                <w:rFonts w:ascii="Calibri" w:hAnsi="Calibri" w:cs="Calibri"/>
                <w:sz w:val="20"/>
                <w:szCs w:val="20"/>
              </w:rPr>
            </w:pPr>
            <w:r w:rsidRPr="00D85B34">
              <w:rPr>
                <w:rFonts w:ascii="Calibri" w:hAnsi="Calibri" w:cs="Calibri"/>
                <w:sz w:val="20"/>
                <w:szCs w:val="20"/>
              </w:rPr>
              <w:t>Total Expenditures</w:t>
            </w:r>
          </w:p>
        </w:tc>
        <w:tc>
          <w:tcPr>
            <w:tcW w:w="2452" w:type="dxa"/>
          </w:tcPr>
          <w:p w14:paraId="1E5533C4" w14:textId="74C0B010" w:rsidR="00E265AE" w:rsidRPr="009B5509" w:rsidRDefault="007748F2" w:rsidP="00F46923">
            <w:pPr>
              <w:jc w:val="right"/>
              <w:rPr>
                <w:rFonts w:ascii="Calibri" w:hAnsi="Calibri" w:cs="Calibri"/>
                <w:bCs/>
                <w:sz w:val="20"/>
                <w:szCs w:val="20"/>
              </w:rPr>
            </w:pPr>
            <w:r w:rsidRPr="009B5509">
              <w:rPr>
                <w:rFonts w:ascii="Calibri" w:hAnsi="Calibri" w:cs="Calibri"/>
                <w:bCs/>
                <w:sz w:val="20"/>
                <w:szCs w:val="20"/>
              </w:rPr>
              <w:t>$</w:t>
            </w:r>
            <w:r w:rsidR="009D4028" w:rsidRPr="009B5509">
              <w:rPr>
                <w:rFonts w:ascii="Calibri" w:hAnsi="Calibri" w:cs="Calibri"/>
                <w:sz w:val="20"/>
                <w:szCs w:val="20"/>
                <w:shd w:val="clear" w:color="auto" w:fill="FFFFFF"/>
              </w:rPr>
              <w:t>764,261,591</w:t>
            </w:r>
          </w:p>
        </w:tc>
        <w:tc>
          <w:tcPr>
            <w:tcW w:w="1980" w:type="dxa"/>
          </w:tcPr>
          <w:p w14:paraId="45AFA405" w14:textId="77777777" w:rsidR="00E265AE" w:rsidRPr="009B5509" w:rsidRDefault="00E265AE" w:rsidP="00F46923">
            <w:pPr>
              <w:jc w:val="right"/>
              <w:rPr>
                <w:rFonts w:ascii="Calibri" w:hAnsi="Calibri" w:cs="Calibri"/>
                <w:sz w:val="20"/>
                <w:szCs w:val="20"/>
              </w:rPr>
            </w:pPr>
            <w:r w:rsidRPr="009B5509">
              <w:rPr>
                <w:rFonts w:ascii="Calibri" w:hAnsi="Calibri" w:cs="Calibri"/>
                <w:sz w:val="20"/>
                <w:szCs w:val="20"/>
              </w:rPr>
              <w:t>100%</w:t>
            </w:r>
          </w:p>
        </w:tc>
      </w:tr>
    </w:tbl>
    <w:p w14:paraId="72C9FAEF" w14:textId="49ACA593" w:rsidR="005130BC" w:rsidRPr="00D85B34" w:rsidRDefault="00E265AE" w:rsidP="005130BC">
      <w:pPr>
        <w:pStyle w:val="NoSpacing"/>
        <w:ind w:left="360"/>
        <w:rPr>
          <w:rFonts w:cs="Calibri"/>
          <w:i/>
          <w:sz w:val="18"/>
          <w:szCs w:val="18"/>
        </w:rPr>
      </w:pPr>
      <w:r w:rsidRPr="00D85B34">
        <w:rPr>
          <w:rFonts w:cs="Calibri"/>
          <w:i/>
          <w:sz w:val="18"/>
          <w:szCs w:val="18"/>
          <w:vertAlign w:val="superscript"/>
        </w:rPr>
        <w:t>1</w:t>
      </w:r>
      <w:r w:rsidRPr="00D85B34">
        <w:rPr>
          <w:rFonts w:cs="Calibri"/>
          <w:i/>
          <w:sz w:val="18"/>
          <w:szCs w:val="18"/>
        </w:rPr>
        <w:t xml:space="preserve"> Other State Facilities are HDMC and VCBR.</w:t>
      </w:r>
    </w:p>
    <w:p w14:paraId="4FCA40B5" w14:textId="77777777" w:rsidR="002F0BA5" w:rsidRDefault="002F0BA5" w:rsidP="00F46923">
      <w:pPr>
        <w:rPr>
          <w:b/>
          <w:sz w:val="36"/>
          <w:szCs w:val="36"/>
        </w:rPr>
      </w:pPr>
    </w:p>
    <w:p w14:paraId="4B3AB081" w14:textId="77777777" w:rsidR="009878E9" w:rsidRDefault="009878E9" w:rsidP="00F46923">
      <w:pPr>
        <w:rPr>
          <w:b/>
          <w:sz w:val="36"/>
          <w:szCs w:val="36"/>
        </w:rPr>
      </w:pPr>
    </w:p>
    <w:p w14:paraId="1D2150AC" w14:textId="38C54DDB" w:rsidR="006540CF" w:rsidRPr="00C93530" w:rsidRDefault="006540CF" w:rsidP="00F46923">
      <w:pPr>
        <w:rPr>
          <w:sz w:val="40"/>
          <w:szCs w:val="40"/>
        </w:rPr>
      </w:pPr>
      <w:bookmarkStart w:id="4" w:name="Major_New_Initiatives"/>
      <w:r w:rsidRPr="00C93530">
        <w:rPr>
          <w:b/>
          <w:sz w:val="40"/>
          <w:szCs w:val="40"/>
        </w:rPr>
        <w:t>Major New Initiatives and Accomplishments</w:t>
      </w:r>
    </w:p>
    <w:bookmarkEnd w:id="4"/>
    <w:p w14:paraId="6D50F35F" w14:textId="77777777" w:rsidR="009E42E6" w:rsidRDefault="009E42E6" w:rsidP="00F46923">
      <w:pPr>
        <w:rPr>
          <w:color w:val="C0504D" w:themeColor="accent2"/>
        </w:rPr>
      </w:pPr>
    </w:p>
    <w:p w14:paraId="2C855851" w14:textId="750680FA" w:rsidR="004F63B0" w:rsidRPr="00BE2ACC" w:rsidRDefault="006B7CEC" w:rsidP="00BE2ACC">
      <w:pPr>
        <w:shd w:val="clear" w:color="auto" w:fill="FFFFFF"/>
        <w:spacing w:after="160"/>
      </w:pPr>
      <w:r w:rsidRPr="00BE2ACC">
        <w:t xml:space="preserve">In December 2021, Governor Youngkin named Nelson Smith Commissioner of DBHDS. </w:t>
      </w:r>
      <w:r w:rsidR="004F63B0" w:rsidRPr="00BE2ACC">
        <w:t>Commissioner Smith</w:t>
      </w:r>
      <w:r w:rsidR="00652176" w:rsidRPr="00BE2ACC">
        <w:t xml:space="preserve"> began a strategic planning process for DBHDS in January 2022. The main objectives for the plan, called the North Star Plan, were determined in FY 2022. </w:t>
      </w:r>
      <w:r w:rsidR="00BE2ACC" w:rsidRPr="00BE2ACC">
        <w:t xml:space="preserve">The North Star Plan is intended to help DBHDS successfully move forward in </w:t>
      </w:r>
      <w:r w:rsidR="00652176" w:rsidRPr="00BE2ACC">
        <w:t>today’s rapidly evolving healthcare environment</w:t>
      </w:r>
      <w:r w:rsidR="00BE2ACC" w:rsidRPr="00BE2ACC">
        <w:t xml:space="preserve"> to better serve the people and providers who depend on Virginia’s behavioral health and developmental services system, and to advance the Governor’s vision to make Virginia the best place to live, work and play. The North Star Plan focuses on </w:t>
      </w:r>
      <w:r w:rsidR="007D1D1A" w:rsidRPr="007D1D1A">
        <w:t xml:space="preserve">three </w:t>
      </w:r>
      <w:r w:rsidR="00BE2ACC" w:rsidRPr="00BE2ACC">
        <w:t xml:space="preserve">main </w:t>
      </w:r>
      <w:r w:rsidR="007D1D1A" w:rsidRPr="007D1D1A">
        <w:t xml:space="preserve">objectives to accomplish before the end of 2025. </w:t>
      </w:r>
    </w:p>
    <w:p w14:paraId="73E2D327" w14:textId="0A11E047" w:rsidR="004F63B0" w:rsidRPr="004F63B0" w:rsidRDefault="00BE2ACC" w:rsidP="009054AA">
      <w:pPr>
        <w:numPr>
          <w:ilvl w:val="0"/>
          <w:numId w:val="63"/>
        </w:numPr>
        <w:shd w:val="clear" w:color="auto" w:fill="FFFFFF"/>
      </w:pPr>
      <w:r w:rsidRPr="00BE2ACC">
        <w:rPr>
          <w:b/>
          <w:bCs/>
        </w:rPr>
        <w:t>Strengthen workforce systemwide</w:t>
      </w:r>
      <w:r w:rsidRPr="00BE2ACC">
        <w:t xml:space="preserve"> – </w:t>
      </w:r>
      <w:r w:rsidR="004F63B0" w:rsidRPr="004F63B0">
        <w:t>Develop a robust, strong, well-trained, and sustainable workforce.</w:t>
      </w:r>
    </w:p>
    <w:p w14:paraId="5FCB7507" w14:textId="031822A6" w:rsidR="004F63B0" w:rsidRPr="004F63B0" w:rsidRDefault="00BE2ACC" w:rsidP="009054AA">
      <w:pPr>
        <w:numPr>
          <w:ilvl w:val="0"/>
          <w:numId w:val="63"/>
        </w:numPr>
        <w:shd w:val="clear" w:color="auto" w:fill="FFFFFF"/>
      </w:pPr>
      <w:r w:rsidRPr="00BE2ACC">
        <w:rPr>
          <w:b/>
          <w:bCs/>
        </w:rPr>
        <w:t>Expand the comprehensive system of care</w:t>
      </w:r>
      <w:r w:rsidRPr="00BE2ACC">
        <w:t xml:space="preserve"> – </w:t>
      </w:r>
      <w:r w:rsidR="004F63B0" w:rsidRPr="004F63B0">
        <w:t>Increase access, grow capacity, and ensure quality of care in the most integrated setting across a comprehensive continuum of care for individuals with mental health disorders, substance use disorders, and developmental disabilities. </w:t>
      </w:r>
    </w:p>
    <w:p w14:paraId="1B55831C" w14:textId="04D03F04" w:rsidR="004F63B0" w:rsidRPr="004F63B0" w:rsidRDefault="00BE2ACC" w:rsidP="009054AA">
      <w:pPr>
        <w:numPr>
          <w:ilvl w:val="0"/>
          <w:numId w:val="63"/>
        </w:numPr>
        <w:shd w:val="clear" w:color="auto" w:fill="FFFFFF"/>
      </w:pPr>
      <w:r w:rsidRPr="00BE2ACC">
        <w:rPr>
          <w:b/>
          <w:bCs/>
        </w:rPr>
        <w:lastRenderedPageBreak/>
        <w:t>Modernize systems and processes</w:t>
      </w:r>
      <w:r w:rsidRPr="00BE2ACC">
        <w:t xml:space="preserve"> – </w:t>
      </w:r>
      <w:r w:rsidR="004F63B0" w:rsidRPr="004F63B0">
        <w:t>Modernize Systems and processes that leverage best practices to drive and sustain high-quality service outcomes. </w:t>
      </w:r>
    </w:p>
    <w:p w14:paraId="3404AA2C" w14:textId="77777777" w:rsidR="004F63B0" w:rsidRPr="00BE2ACC" w:rsidRDefault="004F63B0" w:rsidP="007D1D1A">
      <w:pPr>
        <w:shd w:val="clear" w:color="auto" w:fill="FFFFFF"/>
      </w:pPr>
    </w:p>
    <w:p w14:paraId="480B18DB" w14:textId="158EE3FE" w:rsidR="007D1D1A" w:rsidRDefault="004F63B0" w:rsidP="00F46923">
      <w:r w:rsidRPr="00BE2ACC">
        <w:t>In</w:t>
      </w:r>
      <w:r w:rsidR="00652176" w:rsidRPr="00BE2ACC">
        <w:t xml:space="preserve"> early FY 2023, Commissioner Smith announced additional key results associated with the North Star Plan along with a new DBHDS Central Office organizational structure to fortify the department’s position for transformational success, improve internal operations, better support staff, and achieve a strong customer service focus </w:t>
      </w:r>
      <w:r w:rsidR="00BE2ACC" w:rsidRPr="00BE2ACC">
        <w:t xml:space="preserve">on </w:t>
      </w:r>
      <w:r w:rsidR="00652176" w:rsidRPr="00BE2ACC">
        <w:t xml:space="preserve">both </w:t>
      </w:r>
      <w:r w:rsidR="00BE2ACC" w:rsidRPr="00BE2ACC">
        <w:t>an internal and external basis</w:t>
      </w:r>
      <w:r w:rsidR="00652176" w:rsidRPr="00BE2ACC">
        <w:t xml:space="preserve">. </w:t>
      </w:r>
    </w:p>
    <w:p w14:paraId="25CD53C7" w14:textId="5113BE3A" w:rsidR="00BE2ACC" w:rsidRDefault="00BE2ACC" w:rsidP="00F46923"/>
    <w:p w14:paraId="7D75951A" w14:textId="1822F32B" w:rsidR="00BE2ACC" w:rsidRPr="00BE2ACC" w:rsidRDefault="00BE2ACC" w:rsidP="000572D2">
      <w:pPr>
        <w:ind w:right="432"/>
      </w:pPr>
      <w:r>
        <w:t xml:space="preserve">The following sections </w:t>
      </w:r>
      <w:r w:rsidR="000572D2">
        <w:t xml:space="preserve">describe </w:t>
      </w:r>
      <w:r>
        <w:t xml:space="preserve">major new initiatives and accomplishments </w:t>
      </w:r>
      <w:r w:rsidR="000572D2">
        <w:t xml:space="preserve">accomplished throughout DBHDS Central Office and facilities during FY 2022. </w:t>
      </w:r>
    </w:p>
    <w:p w14:paraId="0EDF3F61" w14:textId="258F1587" w:rsidR="00652176" w:rsidRDefault="00652176" w:rsidP="00F46923">
      <w:pPr>
        <w:rPr>
          <w:color w:val="C0504D" w:themeColor="accent2"/>
        </w:rPr>
      </w:pPr>
    </w:p>
    <w:p w14:paraId="79F1B47F" w14:textId="77777777" w:rsidR="00F815D5" w:rsidRPr="008319E9" w:rsidRDefault="00F815D5" w:rsidP="00F46923">
      <w:pPr>
        <w:pStyle w:val="paragraph"/>
        <w:spacing w:before="0" w:beforeAutospacing="0" w:after="0" w:afterAutospacing="0"/>
        <w:textAlignment w:val="baseline"/>
        <w:rPr>
          <w:rStyle w:val="normaltextrun"/>
          <w:bCs/>
        </w:rPr>
      </w:pPr>
    </w:p>
    <w:p w14:paraId="43734574" w14:textId="4856FBDE" w:rsidR="00600517" w:rsidRPr="00C660C4" w:rsidRDefault="00600517" w:rsidP="00F46923">
      <w:pPr>
        <w:pStyle w:val="paragraph"/>
        <w:spacing w:before="0" w:beforeAutospacing="0" w:after="0" w:afterAutospacing="0"/>
        <w:textAlignment w:val="baseline"/>
        <w:rPr>
          <w:sz w:val="36"/>
          <w:szCs w:val="36"/>
        </w:rPr>
      </w:pPr>
      <w:bookmarkStart w:id="5" w:name="Administrative_Services"/>
      <w:r w:rsidRPr="00C660C4">
        <w:rPr>
          <w:rStyle w:val="normaltextrun"/>
          <w:b/>
          <w:bCs/>
          <w:sz w:val="36"/>
          <w:szCs w:val="36"/>
        </w:rPr>
        <w:t xml:space="preserve">Administrative Services </w:t>
      </w:r>
      <w:bookmarkEnd w:id="5"/>
    </w:p>
    <w:p w14:paraId="703E3EEF" w14:textId="218EE467" w:rsidR="00600517" w:rsidRDefault="00600517" w:rsidP="00F46923">
      <w:pPr>
        <w:pStyle w:val="NoSpacing"/>
        <w:rPr>
          <w:rStyle w:val="normaltextrun"/>
          <w:b/>
          <w:bCs/>
          <w:color w:val="FF0000"/>
          <w:sz w:val="24"/>
          <w:szCs w:val="24"/>
        </w:rPr>
      </w:pPr>
    </w:p>
    <w:p w14:paraId="31AA6CBB" w14:textId="77777777" w:rsidR="00F46923" w:rsidRPr="000C5D2F" w:rsidRDefault="00F46923" w:rsidP="00F46923">
      <w:pPr>
        <w:pStyle w:val="paragraph"/>
        <w:spacing w:before="0" w:beforeAutospacing="0" w:after="0" w:afterAutospacing="0"/>
        <w:textAlignment w:val="baseline"/>
        <w:rPr>
          <w:sz w:val="26"/>
          <w:szCs w:val="26"/>
        </w:rPr>
      </w:pPr>
      <w:r w:rsidRPr="000C5D2F">
        <w:rPr>
          <w:rStyle w:val="normaltextrun"/>
          <w:b/>
          <w:bCs/>
          <w:i/>
          <w:iCs/>
          <w:sz w:val="26"/>
          <w:szCs w:val="26"/>
        </w:rPr>
        <w:t>Human Resources Management</w:t>
      </w:r>
      <w:r w:rsidRPr="000C5D2F">
        <w:rPr>
          <w:rStyle w:val="eop"/>
          <w:sz w:val="26"/>
          <w:szCs w:val="26"/>
        </w:rPr>
        <w:t> </w:t>
      </w:r>
    </w:p>
    <w:p w14:paraId="6CAB837D" w14:textId="370E689F" w:rsidR="00F46923" w:rsidRDefault="00F46923" w:rsidP="00F46923">
      <w:pPr>
        <w:pStyle w:val="paragraph"/>
        <w:spacing w:before="0" w:beforeAutospacing="0" w:after="0" w:afterAutospacing="0"/>
        <w:textAlignment w:val="baseline"/>
        <w:rPr>
          <w:rStyle w:val="eop"/>
        </w:rPr>
      </w:pPr>
      <w:r w:rsidRPr="009A7EF7">
        <w:rPr>
          <w:rStyle w:val="normaltextrun"/>
        </w:rPr>
        <w:t>DBHDS continued to integrate human capital policies, programs, and practices into human resources management. This includes expanding learning management opportunities, developing additional career pathways, enhancing recruitment and retention strategies, evaluating compensation tools, and succession planning.</w:t>
      </w:r>
      <w:r w:rsidRPr="009A7EF7">
        <w:rPr>
          <w:rStyle w:val="eop"/>
        </w:rPr>
        <w:t> Initiatives and accomplishments include:</w:t>
      </w:r>
    </w:p>
    <w:p w14:paraId="0AE052C4" w14:textId="77777777" w:rsidR="00F46923" w:rsidRPr="00405B10" w:rsidRDefault="00F46923" w:rsidP="009054AA">
      <w:pPr>
        <w:pStyle w:val="NoSpacing"/>
        <w:numPr>
          <w:ilvl w:val="0"/>
          <w:numId w:val="64"/>
        </w:numPr>
        <w:ind w:left="540"/>
        <w:rPr>
          <w:rFonts w:ascii="Times New Roman" w:hAnsi="Times New Roman"/>
          <w:sz w:val="24"/>
          <w:szCs w:val="24"/>
        </w:rPr>
      </w:pPr>
      <w:r w:rsidRPr="00405B10">
        <w:rPr>
          <w:rFonts w:ascii="Times New Roman" w:hAnsi="Times New Roman"/>
          <w:sz w:val="24"/>
          <w:szCs w:val="24"/>
        </w:rPr>
        <w:t>The Direct Support Professional Career Pathways Program aim is to increase the overall competency level of staff, leading to a more positive workplace environment and improving recruitment and retention of staff. Since the program began, 670 certificates have been awarded, and 213 employees have completed two certificate programs. </w:t>
      </w:r>
    </w:p>
    <w:p w14:paraId="5AD3E286" w14:textId="77777777" w:rsidR="00F46923" w:rsidRPr="00405B10" w:rsidRDefault="00F46923" w:rsidP="009054AA">
      <w:pPr>
        <w:pStyle w:val="NoSpacing"/>
        <w:numPr>
          <w:ilvl w:val="0"/>
          <w:numId w:val="64"/>
        </w:numPr>
        <w:ind w:left="540"/>
        <w:rPr>
          <w:rFonts w:ascii="Times New Roman" w:hAnsi="Times New Roman"/>
          <w:sz w:val="24"/>
          <w:szCs w:val="24"/>
        </w:rPr>
      </w:pPr>
      <w:r w:rsidRPr="00405B10">
        <w:rPr>
          <w:rFonts w:ascii="Times New Roman" w:hAnsi="Times New Roman"/>
          <w:sz w:val="24"/>
          <w:szCs w:val="24"/>
        </w:rPr>
        <w:t>44 participants attended the five-day Virginia Public Sector Leadership Certificate (VPSL I) program, bringing the cumulative total of DBHDS employees completing this program to 396.  The VPSL I training opportunity enhances leadership and supervision competencies for front line or recently promoted managers in DBHDS.  This program also nurtures high potential employees and builds on retention and succession planning activities.</w:t>
      </w:r>
    </w:p>
    <w:p w14:paraId="0DA606CC" w14:textId="77777777" w:rsidR="00F46923" w:rsidRPr="00405B10" w:rsidRDefault="00F46923" w:rsidP="009054AA">
      <w:pPr>
        <w:pStyle w:val="NoSpacing"/>
        <w:numPr>
          <w:ilvl w:val="0"/>
          <w:numId w:val="64"/>
        </w:numPr>
        <w:ind w:left="540"/>
        <w:rPr>
          <w:rFonts w:ascii="Times New Roman" w:hAnsi="Times New Roman"/>
          <w:sz w:val="24"/>
          <w:szCs w:val="24"/>
        </w:rPr>
      </w:pPr>
      <w:r w:rsidRPr="00405B10">
        <w:rPr>
          <w:rFonts w:ascii="Times New Roman" w:hAnsi="Times New Roman"/>
          <w:sz w:val="24"/>
          <w:szCs w:val="24"/>
        </w:rPr>
        <w:t xml:space="preserve">23 people participated in the five-day March 2022 Virginia Public Sector Leadership Certificate Program (VPSL) II program. This annual training opportunity enhances leadership and supervision competencies for emerging leaders and is a component of DBHDS’ leadership development program, </w:t>
      </w:r>
      <w:proofErr w:type="spellStart"/>
      <w:r w:rsidRPr="00405B10">
        <w:rPr>
          <w:rFonts w:ascii="Times New Roman" w:hAnsi="Times New Roman"/>
          <w:sz w:val="24"/>
          <w:szCs w:val="24"/>
        </w:rPr>
        <w:t>SystemLEAD</w:t>
      </w:r>
      <w:proofErr w:type="spellEnd"/>
      <w:r w:rsidRPr="00405B10">
        <w:rPr>
          <w:rFonts w:ascii="Times New Roman" w:hAnsi="Times New Roman"/>
          <w:sz w:val="24"/>
          <w:szCs w:val="24"/>
        </w:rPr>
        <w:t>. To date, 207 people have participated. </w:t>
      </w:r>
    </w:p>
    <w:p w14:paraId="355F8AF7" w14:textId="77777777" w:rsidR="00F46923" w:rsidRPr="00405B10" w:rsidRDefault="00F46923" w:rsidP="009054AA">
      <w:pPr>
        <w:pStyle w:val="NoSpacing"/>
        <w:numPr>
          <w:ilvl w:val="0"/>
          <w:numId w:val="64"/>
        </w:numPr>
        <w:ind w:left="540"/>
        <w:rPr>
          <w:rFonts w:ascii="Times New Roman" w:hAnsi="Times New Roman"/>
          <w:sz w:val="24"/>
          <w:szCs w:val="24"/>
        </w:rPr>
      </w:pPr>
      <w:r w:rsidRPr="00405B10">
        <w:rPr>
          <w:rFonts w:ascii="Times New Roman" w:hAnsi="Times New Roman"/>
          <w:sz w:val="24"/>
          <w:szCs w:val="24"/>
        </w:rPr>
        <w:t>The VPSL III program continued in 2022 with another 23 DBHDS executive participants participating in the program, bringing the cumulative total of DBHDS executives participating in this program to 98.  Participants in this VPSL level are agency executives nominated by the DBHDS senior leadership team.  VPSL III uses the same core learning areas as levels I &amp; II but explore topics in a higher-level method.</w:t>
      </w:r>
    </w:p>
    <w:p w14:paraId="2D62EAD1" w14:textId="77777777" w:rsidR="00F46923" w:rsidRPr="00405B10" w:rsidRDefault="00F46923" w:rsidP="009054AA">
      <w:pPr>
        <w:pStyle w:val="NoSpacing"/>
        <w:numPr>
          <w:ilvl w:val="0"/>
          <w:numId w:val="64"/>
        </w:numPr>
        <w:ind w:left="540"/>
        <w:rPr>
          <w:rFonts w:ascii="Times New Roman" w:hAnsi="Times New Roman"/>
          <w:sz w:val="24"/>
          <w:szCs w:val="24"/>
        </w:rPr>
      </w:pPr>
      <w:r w:rsidRPr="00405B10">
        <w:rPr>
          <w:rFonts w:ascii="Times New Roman" w:hAnsi="Times New Roman"/>
          <w:sz w:val="24"/>
          <w:szCs w:val="24"/>
        </w:rPr>
        <w:t>There were 23 employees who started </w:t>
      </w:r>
      <w:proofErr w:type="spellStart"/>
      <w:r w:rsidRPr="00405B10">
        <w:rPr>
          <w:rFonts w:ascii="Times New Roman" w:hAnsi="Times New Roman"/>
          <w:sz w:val="24"/>
          <w:szCs w:val="24"/>
        </w:rPr>
        <w:t>SystemLEAD</w:t>
      </w:r>
      <w:proofErr w:type="spellEnd"/>
      <w:r w:rsidRPr="00405B10">
        <w:rPr>
          <w:rFonts w:ascii="Times New Roman" w:hAnsi="Times New Roman"/>
          <w:sz w:val="24"/>
          <w:szCs w:val="24"/>
        </w:rPr>
        <w:t> in FY 2022. </w:t>
      </w:r>
      <w:proofErr w:type="spellStart"/>
      <w:r w:rsidRPr="00405B10">
        <w:rPr>
          <w:rFonts w:ascii="Times New Roman" w:hAnsi="Times New Roman"/>
          <w:sz w:val="24"/>
          <w:szCs w:val="24"/>
        </w:rPr>
        <w:t>SystemLEAD</w:t>
      </w:r>
      <w:proofErr w:type="spellEnd"/>
      <w:r w:rsidRPr="00405B10">
        <w:rPr>
          <w:rFonts w:ascii="Times New Roman" w:hAnsi="Times New Roman"/>
          <w:sz w:val="24"/>
          <w:szCs w:val="24"/>
        </w:rPr>
        <w:t xml:space="preserve">, a long-term organizational strategy, clearly defines a leader’s roles, abilities, and pathway to improvement. DBHDS offers this nine-month program annually. To date, 203 people have participated in the </w:t>
      </w:r>
      <w:proofErr w:type="spellStart"/>
      <w:r w:rsidRPr="00405B10">
        <w:rPr>
          <w:rFonts w:ascii="Times New Roman" w:hAnsi="Times New Roman"/>
          <w:sz w:val="24"/>
          <w:szCs w:val="24"/>
        </w:rPr>
        <w:t>SystemLEAD</w:t>
      </w:r>
      <w:proofErr w:type="spellEnd"/>
      <w:r w:rsidRPr="00405B10">
        <w:rPr>
          <w:rFonts w:ascii="Times New Roman" w:hAnsi="Times New Roman"/>
          <w:sz w:val="24"/>
          <w:szCs w:val="24"/>
        </w:rPr>
        <w:t xml:space="preserve"> programs.  </w:t>
      </w:r>
    </w:p>
    <w:p w14:paraId="46D71989" w14:textId="77777777" w:rsidR="00F46923" w:rsidRPr="00405B10" w:rsidRDefault="00F46923" w:rsidP="009054AA">
      <w:pPr>
        <w:pStyle w:val="NoSpacing"/>
        <w:numPr>
          <w:ilvl w:val="0"/>
          <w:numId w:val="64"/>
        </w:numPr>
        <w:ind w:left="540"/>
        <w:rPr>
          <w:rStyle w:val="normaltextrun"/>
          <w:rFonts w:ascii="Times New Roman" w:hAnsi="Times New Roman"/>
          <w:color w:val="000000" w:themeColor="text1"/>
          <w:sz w:val="24"/>
          <w:szCs w:val="24"/>
        </w:rPr>
      </w:pPr>
      <w:r w:rsidRPr="00405B10">
        <w:rPr>
          <w:rStyle w:val="normaltextrun"/>
          <w:rFonts w:ascii="Times New Roman" w:hAnsi="Times New Roman"/>
          <w:color w:val="000000" w:themeColor="text1"/>
          <w:sz w:val="24"/>
          <w:szCs w:val="24"/>
        </w:rPr>
        <w:t xml:space="preserve">Continued use of the compensation toolbox to help recruit and retain a quality workforce. Job fairs (hire on the spot), social media, academic partnerships, various bonuses (sign on </w:t>
      </w:r>
      <w:r w:rsidRPr="00405B10">
        <w:rPr>
          <w:rStyle w:val="normaltextrun"/>
          <w:rFonts w:ascii="Times New Roman" w:hAnsi="Times New Roman"/>
          <w:color w:val="000000" w:themeColor="text1"/>
          <w:sz w:val="24"/>
          <w:szCs w:val="24"/>
        </w:rPr>
        <w:lastRenderedPageBreak/>
        <w:t xml:space="preserve">bonuses, referral bonuses </w:t>
      </w:r>
      <w:proofErr w:type="gramStart"/>
      <w:r w:rsidRPr="00405B10">
        <w:rPr>
          <w:rStyle w:val="normaltextrun"/>
          <w:rFonts w:ascii="Times New Roman" w:hAnsi="Times New Roman"/>
          <w:color w:val="000000" w:themeColor="text1"/>
          <w:sz w:val="24"/>
          <w:szCs w:val="24"/>
        </w:rPr>
        <w:t>and  retention</w:t>
      </w:r>
      <w:proofErr w:type="gramEnd"/>
      <w:r w:rsidRPr="00405B10">
        <w:rPr>
          <w:rStyle w:val="normaltextrun"/>
          <w:rFonts w:ascii="Times New Roman" w:hAnsi="Times New Roman"/>
          <w:color w:val="000000" w:themeColor="text1"/>
          <w:sz w:val="24"/>
          <w:szCs w:val="24"/>
        </w:rPr>
        <w:t xml:space="preserve"> bonuses)increased alternate pay bands, increased shift differentials, and continuing the use of loan repayment programs were used.</w:t>
      </w:r>
    </w:p>
    <w:p w14:paraId="44FB6CCB" w14:textId="74FEF0FB" w:rsidR="00F46923" w:rsidRPr="00405B10" w:rsidRDefault="008B1975" w:rsidP="009054AA">
      <w:pPr>
        <w:pStyle w:val="NoSpacing"/>
        <w:numPr>
          <w:ilvl w:val="0"/>
          <w:numId w:val="64"/>
        </w:numPr>
        <w:ind w:left="540"/>
        <w:rPr>
          <w:rFonts w:ascii="Times New Roman" w:hAnsi="Times New Roman"/>
          <w:color w:val="000000" w:themeColor="text1"/>
          <w:sz w:val="24"/>
          <w:szCs w:val="24"/>
        </w:rPr>
      </w:pPr>
      <w:proofErr w:type="gramStart"/>
      <w:r w:rsidRPr="00405B10">
        <w:rPr>
          <w:rFonts w:ascii="Times New Roman" w:hAnsi="Times New Roman"/>
          <w:color w:val="000000" w:themeColor="text1"/>
          <w:sz w:val="24"/>
          <w:szCs w:val="24"/>
          <w:shd w:val="clear" w:color="auto" w:fill="FFFFFF"/>
        </w:rPr>
        <w:t>Following General Assembly action,</w:t>
      </w:r>
      <w:proofErr w:type="gramEnd"/>
      <w:r w:rsidRPr="00405B10">
        <w:rPr>
          <w:rFonts w:ascii="Times New Roman" w:hAnsi="Times New Roman"/>
          <w:color w:val="000000" w:themeColor="text1"/>
          <w:sz w:val="24"/>
          <w:szCs w:val="24"/>
          <w:shd w:val="clear" w:color="auto" w:fill="FFFFFF"/>
        </w:rPr>
        <w:t xml:space="preserve"> i</w:t>
      </w:r>
      <w:r w:rsidR="00F46923" w:rsidRPr="00405B10">
        <w:rPr>
          <w:rFonts w:ascii="Times New Roman" w:hAnsi="Times New Roman"/>
          <w:color w:val="000000" w:themeColor="text1"/>
          <w:sz w:val="24"/>
          <w:szCs w:val="24"/>
          <w:shd w:val="clear" w:color="auto" w:fill="FFFFFF"/>
        </w:rPr>
        <w:t>ncreased starting pay approvals by at least five percent for facilities that had previously approved starting pay and established several new starting pay rates for various roles across the system. Increased starting rate of DSAs, LPNs, RNs, Security to the mean salary of Mercer Data (50</w:t>
      </w:r>
      <w:r w:rsidRPr="00405B10">
        <w:rPr>
          <w:rFonts w:ascii="Times New Roman" w:hAnsi="Times New Roman"/>
          <w:color w:val="000000" w:themeColor="text1"/>
          <w:sz w:val="24"/>
          <w:szCs w:val="24"/>
          <w:shd w:val="clear" w:color="auto" w:fill="FFFFFF"/>
        </w:rPr>
        <w:t xml:space="preserve"> percent).</w:t>
      </w:r>
    </w:p>
    <w:p w14:paraId="7B907275" w14:textId="77777777" w:rsidR="00F46923" w:rsidRPr="00405B10" w:rsidRDefault="00F46923" w:rsidP="009054AA">
      <w:pPr>
        <w:pStyle w:val="NoSpacing"/>
        <w:numPr>
          <w:ilvl w:val="0"/>
          <w:numId w:val="64"/>
        </w:numPr>
        <w:ind w:left="540"/>
        <w:rPr>
          <w:rFonts w:ascii="Times New Roman" w:hAnsi="Times New Roman"/>
          <w:color w:val="000000" w:themeColor="text1"/>
          <w:sz w:val="24"/>
          <w:szCs w:val="24"/>
        </w:rPr>
      </w:pPr>
      <w:r w:rsidRPr="00405B10">
        <w:rPr>
          <w:rFonts w:ascii="Times New Roman" w:hAnsi="Times New Roman"/>
          <w:color w:val="000000" w:themeColor="text1"/>
          <w:sz w:val="24"/>
          <w:szCs w:val="24"/>
        </w:rPr>
        <w:t>Continued critical shift pay for emergent situations to properly compensate staff during critical staff shortages.</w:t>
      </w:r>
    </w:p>
    <w:p w14:paraId="034A76FA" w14:textId="77777777" w:rsidR="00F46923" w:rsidRDefault="00F46923" w:rsidP="00F46923">
      <w:pPr>
        <w:pStyle w:val="paragraph"/>
        <w:spacing w:before="0" w:beforeAutospacing="0" w:after="0" w:afterAutospacing="0"/>
        <w:textAlignment w:val="baseline"/>
        <w:rPr>
          <w:rStyle w:val="eop"/>
        </w:rPr>
      </w:pPr>
    </w:p>
    <w:p w14:paraId="23D398F4" w14:textId="77777777" w:rsidR="008B1975" w:rsidRDefault="00EC3123" w:rsidP="00F46923">
      <w:pPr>
        <w:pStyle w:val="paragraph"/>
        <w:spacing w:before="0" w:beforeAutospacing="0" w:after="0" w:afterAutospacing="0"/>
        <w:textAlignment w:val="baseline"/>
        <w:rPr>
          <w:rStyle w:val="normaltextrun"/>
          <w:b/>
          <w:bCs/>
          <w:i/>
          <w:iCs/>
          <w:sz w:val="26"/>
          <w:szCs w:val="26"/>
        </w:rPr>
      </w:pPr>
      <w:r w:rsidRPr="004C56AE">
        <w:rPr>
          <w:rStyle w:val="normaltextrun"/>
          <w:b/>
          <w:bCs/>
          <w:i/>
          <w:iCs/>
          <w:sz w:val="26"/>
          <w:szCs w:val="26"/>
        </w:rPr>
        <w:t>Information Technology/Security</w:t>
      </w:r>
    </w:p>
    <w:p w14:paraId="428EB63A" w14:textId="21683D8F" w:rsidR="00EC3123" w:rsidRPr="00B62B54" w:rsidRDefault="00EC3123" w:rsidP="00F46923">
      <w:pPr>
        <w:pStyle w:val="paragraph"/>
        <w:spacing w:before="0" w:beforeAutospacing="0" w:after="0" w:afterAutospacing="0"/>
        <w:textAlignment w:val="baseline"/>
        <w:rPr>
          <w:rStyle w:val="normaltextrun"/>
          <w:i/>
          <w:iCs/>
        </w:rPr>
      </w:pPr>
      <w:r w:rsidRPr="004C56AE">
        <w:rPr>
          <w:rStyle w:val="normaltextrun"/>
        </w:rPr>
        <w:t>DBHDS Information Technology made significant progress during FY 2022 on key initiatives to accomplish two key strategic goals to modernize IT systems and utilize enterprise-wide solutions whenever possible.</w:t>
      </w:r>
    </w:p>
    <w:p w14:paraId="77F199EC" w14:textId="079F97FE" w:rsidR="00EC3123" w:rsidRPr="008B1975" w:rsidRDefault="00EC3123" w:rsidP="009054AA">
      <w:pPr>
        <w:numPr>
          <w:ilvl w:val="0"/>
          <w:numId w:val="18"/>
        </w:numPr>
        <w:shd w:val="clear" w:color="auto" w:fill="FFFFFF" w:themeFill="background1"/>
        <w:tabs>
          <w:tab w:val="clear" w:pos="720"/>
          <w:tab w:val="num" w:pos="540"/>
        </w:tabs>
        <w:ind w:left="540"/>
        <w:textAlignment w:val="center"/>
      </w:pPr>
      <w:r w:rsidRPr="008B1975">
        <w:t xml:space="preserve">Implemented 163 enhancements to the Millennium Electronic Health Record (EHR) application. </w:t>
      </w:r>
    </w:p>
    <w:p w14:paraId="0AAADE2F" w14:textId="0A4F40D7" w:rsidR="00EC3123" w:rsidRPr="008B1975" w:rsidRDefault="00EC3123" w:rsidP="009054AA">
      <w:pPr>
        <w:numPr>
          <w:ilvl w:val="0"/>
          <w:numId w:val="18"/>
        </w:numPr>
        <w:shd w:val="clear" w:color="auto" w:fill="FFFFFF"/>
        <w:tabs>
          <w:tab w:val="clear" w:pos="720"/>
          <w:tab w:val="num" w:pos="540"/>
        </w:tabs>
        <w:ind w:left="540"/>
        <w:textAlignment w:val="center"/>
      </w:pPr>
      <w:r w:rsidRPr="008B1975">
        <w:t xml:space="preserve">We were the Commonwealth pilot agency for </w:t>
      </w:r>
      <w:r w:rsidR="008B1975" w:rsidRPr="008B1975">
        <w:rPr>
          <w:shd w:val="clear" w:color="auto" w:fill="FFFFFF"/>
        </w:rPr>
        <w:t xml:space="preserve">software-defined wide area network (SD-WAN) </w:t>
      </w:r>
      <w:r w:rsidRPr="008B1975">
        <w:t>implementation for more reliable network redundancy.</w:t>
      </w:r>
      <w:r w:rsidR="008B1975" w:rsidRPr="008B1975">
        <w:t xml:space="preserve"> SC-WAN </w:t>
      </w:r>
      <w:r w:rsidR="008B1975" w:rsidRPr="008B1975">
        <w:rPr>
          <w:shd w:val="clear" w:color="auto" w:fill="FFFFFF"/>
        </w:rPr>
        <w:t>is a virtualized service that connects and extends enterprise networks over large geographical distances.</w:t>
      </w:r>
    </w:p>
    <w:p w14:paraId="601985E7" w14:textId="77777777" w:rsidR="00EC3123" w:rsidRDefault="00EC3123" w:rsidP="009054AA">
      <w:pPr>
        <w:numPr>
          <w:ilvl w:val="0"/>
          <w:numId w:val="18"/>
        </w:numPr>
        <w:shd w:val="clear" w:color="auto" w:fill="FFFFFF" w:themeFill="background1"/>
        <w:tabs>
          <w:tab w:val="clear" w:pos="720"/>
          <w:tab w:val="num" w:pos="540"/>
        </w:tabs>
        <w:ind w:left="540"/>
        <w:textAlignment w:val="center"/>
        <w:rPr>
          <w:rFonts w:asciiTheme="minorHAnsi" w:eastAsiaTheme="minorEastAsia" w:hAnsiTheme="minorHAnsi" w:cstheme="minorBidi"/>
        </w:rPr>
      </w:pPr>
      <w:r>
        <w:t xml:space="preserve">Completed the implementation of the virtual visitation platform enabling all 12 facilities to allow family members and friends the ability to visit with those in our facilities remotely.  </w:t>
      </w:r>
    </w:p>
    <w:p w14:paraId="4E32CBD4" w14:textId="7F6305C0" w:rsidR="00EC3123" w:rsidRDefault="00EC3123" w:rsidP="009054AA">
      <w:pPr>
        <w:numPr>
          <w:ilvl w:val="0"/>
          <w:numId w:val="18"/>
        </w:numPr>
        <w:shd w:val="clear" w:color="auto" w:fill="FFFFFF" w:themeFill="background1"/>
        <w:tabs>
          <w:tab w:val="clear" w:pos="720"/>
          <w:tab w:val="num" w:pos="540"/>
        </w:tabs>
        <w:ind w:left="540"/>
        <w:textAlignment w:val="center"/>
      </w:pPr>
      <w:r>
        <w:t>Reduced the IT Portfolio from 400+ application down to 150</w:t>
      </w:r>
      <w:r w:rsidR="008B1975">
        <w:t>.</w:t>
      </w:r>
    </w:p>
    <w:p w14:paraId="21218FB4" w14:textId="77777777" w:rsidR="00EC3123" w:rsidRDefault="00EC3123" w:rsidP="009054AA">
      <w:pPr>
        <w:numPr>
          <w:ilvl w:val="0"/>
          <w:numId w:val="18"/>
        </w:numPr>
        <w:shd w:val="clear" w:color="auto" w:fill="FFFFFF" w:themeFill="background1"/>
        <w:tabs>
          <w:tab w:val="clear" w:pos="720"/>
          <w:tab w:val="num" w:pos="540"/>
        </w:tabs>
        <w:ind w:left="540"/>
        <w:textAlignment w:val="center"/>
        <w:rPr>
          <w:rFonts w:asciiTheme="minorHAnsi" w:eastAsiaTheme="minorEastAsia" w:hAnsiTheme="minorHAnsi" w:cstheme="minorBidi"/>
        </w:rPr>
      </w:pPr>
      <w:r>
        <w:t>Enabled access for all facilities to use the Virginia Court System’s virtual platform and attend hearings remotely.</w:t>
      </w:r>
    </w:p>
    <w:p w14:paraId="1F92C149" w14:textId="77777777" w:rsidR="00EC3123" w:rsidRDefault="00EC3123" w:rsidP="009054AA">
      <w:pPr>
        <w:numPr>
          <w:ilvl w:val="0"/>
          <w:numId w:val="18"/>
        </w:numPr>
        <w:shd w:val="clear" w:color="auto" w:fill="FFFFFF" w:themeFill="background1"/>
        <w:tabs>
          <w:tab w:val="clear" w:pos="720"/>
          <w:tab w:val="num" w:pos="540"/>
        </w:tabs>
        <w:ind w:left="540"/>
        <w:textAlignment w:val="center"/>
      </w:pPr>
      <w:r>
        <w:t>Migrated the DOJ library website to allow for the ability to streamline updates and modify content quickly.</w:t>
      </w:r>
    </w:p>
    <w:p w14:paraId="1B49736B" w14:textId="113DD576" w:rsidR="00EC3123" w:rsidRDefault="00EC3123" w:rsidP="009054AA">
      <w:pPr>
        <w:numPr>
          <w:ilvl w:val="0"/>
          <w:numId w:val="18"/>
        </w:numPr>
        <w:shd w:val="clear" w:color="auto" w:fill="FFFFFF"/>
        <w:tabs>
          <w:tab w:val="clear" w:pos="720"/>
          <w:tab w:val="num" w:pos="540"/>
        </w:tabs>
        <w:ind w:left="540"/>
        <w:textAlignment w:val="center"/>
      </w:pPr>
      <w:r>
        <w:t>Implemented new IT solutions for the Office of Licensing (CONNECT), 988 call center (Crisis Call Center) and Office of Early Intervention Program (TRAC-IT)</w:t>
      </w:r>
      <w:r w:rsidR="008B1975">
        <w:t>.</w:t>
      </w:r>
    </w:p>
    <w:p w14:paraId="6BDD855E" w14:textId="77777777" w:rsidR="00EC3123" w:rsidRDefault="00EC3123" w:rsidP="009054AA">
      <w:pPr>
        <w:numPr>
          <w:ilvl w:val="0"/>
          <w:numId w:val="18"/>
        </w:numPr>
        <w:shd w:val="clear" w:color="auto" w:fill="FFFFFF" w:themeFill="background1"/>
        <w:tabs>
          <w:tab w:val="clear" w:pos="720"/>
          <w:tab w:val="num" w:pos="540"/>
        </w:tabs>
        <w:ind w:left="540"/>
        <w:textAlignment w:val="center"/>
      </w:pPr>
      <w:r>
        <w:t>Migrated to a single Business Intelligence tool (Power BI) and removed Tableau.</w:t>
      </w:r>
    </w:p>
    <w:p w14:paraId="2C525B83" w14:textId="77777777" w:rsidR="00EC3123" w:rsidRDefault="00EC3123" w:rsidP="009054AA">
      <w:pPr>
        <w:numPr>
          <w:ilvl w:val="0"/>
          <w:numId w:val="18"/>
        </w:numPr>
        <w:shd w:val="clear" w:color="auto" w:fill="FFFFFF" w:themeFill="background1"/>
        <w:tabs>
          <w:tab w:val="clear" w:pos="720"/>
          <w:tab w:val="num" w:pos="540"/>
        </w:tabs>
        <w:ind w:left="540"/>
        <w:textAlignment w:val="center"/>
      </w:pPr>
      <w:r>
        <w:t xml:space="preserve">Implemented external MS Teams for collaboration with the community. </w:t>
      </w:r>
    </w:p>
    <w:p w14:paraId="6E8D8DE0" w14:textId="77777777" w:rsidR="00EC3123" w:rsidRDefault="00EC3123" w:rsidP="009054AA">
      <w:pPr>
        <w:numPr>
          <w:ilvl w:val="0"/>
          <w:numId w:val="18"/>
        </w:numPr>
        <w:shd w:val="clear" w:color="auto" w:fill="FFFFFF" w:themeFill="background1"/>
        <w:tabs>
          <w:tab w:val="clear" w:pos="720"/>
          <w:tab w:val="num" w:pos="540"/>
        </w:tabs>
        <w:ind w:left="540"/>
        <w:textAlignment w:val="center"/>
      </w:pPr>
      <w:r>
        <w:t>Refined the Information Technology in Business (ITIB) process to ensure alignment with agency strategic goals.</w:t>
      </w:r>
    </w:p>
    <w:p w14:paraId="6B774913" w14:textId="77777777" w:rsidR="00EC3123" w:rsidRDefault="00EC3123" w:rsidP="009054AA">
      <w:pPr>
        <w:numPr>
          <w:ilvl w:val="0"/>
          <w:numId w:val="18"/>
        </w:numPr>
        <w:shd w:val="clear" w:color="auto" w:fill="FFFFFF" w:themeFill="background1"/>
        <w:tabs>
          <w:tab w:val="clear" w:pos="720"/>
          <w:tab w:val="num" w:pos="540"/>
        </w:tabs>
        <w:ind w:left="540"/>
        <w:textAlignment w:val="center"/>
      </w:pPr>
      <w:r>
        <w:t>Standardized code storage and version control using Microsoft Azure DevOps to ensure continuity of operations.</w:t>
      </w:r>
    </w:p>
    <w:p w14:paraId="5A3B477A" w14:textId="1B8C1D4D" w:rsidR="00EC3123" w:rsidRDefault="00EC3123" w:rsidP="009054AA">
      <w:pPr>
        <w:numPr>
          <w:ilvl w:val="0"/>
          <w:numId w:val="18"/>
        </w:numPr>
        <w:shd w:val="clear" w:color="auto" w:fill="FFFFFF" w:themeFill="background1"/>
        <w:tabs>
          <w:tab w:val="clear" w:pos="720"/>
          <w:tab w:val="num" w:pos="540"/>
        </w:tabs>
        <w:ind w:left="540"/>
        <w:rPr>
          <w:rFonts w:asciiTheme="minorHAnsi" w:eastAsiaTheme="minorEastAsia" w:hAnsiTheme="minorHAnsi" w:cstheme="minorBidi"/>
        </w:rPr>
      </w:pPr>
      <w:r>
        <w:t xml:space="preserve">Implemented </w:t>
      </w:r>
      <w:r w:rsidR="008B1975">
        <w:t>e</w:t>
      </w:r>
      <w:r>
        <w:t>nterprise-wide continuous cybersecurity awareness training by conducting on-going simulated email phishing campaigns</w:t>
      </w:r>
      <w:r w:rsidR="00C14EC5">
        <w:t>.</w:t>
      </w:r>
    </w:p>
    <w:p w14:paraId="36A3BCCC" w14:textId="53618B00" w:rsidR="00EC3123" w:rsidRDefault="00EC3123" w:rsidP="00F46923">
      <w:pPr>
        <w:pStyle w:val="NoSpacing"/>
        <w:rPr>
          <w:rStyle w:val="normaltextrun"/>
          <w:b/>
          <w:bCs/>
          <w:color w:val="FF0000"/>
          <w:sz w:val="24"/>
          <w:szCs w:val="24"/>
        </w:rPr>
      </w:pPr>
    </w:p>
    <w:p w14:paraId="48B038EA" w14:textId="74236C8B" w:rsidR="00EC3123" w:rsidRPr="00806802" w:rsidRDefault="00EC3123" w:rsidP="00F46923">
      <w:pPr>
        <w:pStyle w:val="paragraph"/>
        <w:spacing w:before="0" w:beforeAutospacing="0" w:after="0" w:afterAutospacing="0"/>
        <w:textAlignment w:val="baseline"/>
        <w:rPr>
          <w:b/>
          <w:bCs/>
          <w:i/>
          <w:iCs/>
          <w:sz w:val="26"/>
          <w:szCs w:val="26"/>
        </w:rPr>
      </w:pPr>
      <w:r w:rsidRPr="00806802">
        <w:rPr>
          <w:rStyle w:val="normaltextrun"/>
          <w:b/>
          <w:i/>
          <w:sz w:val="26"/>
          <w:szCs w:val="26"/>
        </w:rPr>
        <w:t>Internal Audit</w:t>
      </w:r>
    </w:p>
    <w:p w14:paraId="2B844E17" w14:textId="77777777" w:rsidR="00EC3123" w:rsidRPr="00806802" w:rsidRDefault="00EC3123" w:rsidP="0021779A">
      <w:pPr>
        <w:pStyle w:val="ListParagraph"/>
        <w:numPr>
          <w:ilvl w:val="0"/>
          <w:numId w:val="3"/>
        </w:numPr>
        <w:spacing w:line="240" w:lineRule="auto"/>
        <w:ind w:left="547"/>
        <w:jc w:val="both"/>
        <w:textAlignment w:val="baseline"/>
        <w:rPr>
          <w:rFonts w:ascii="Times New Roman" w:hAnsi="Times New Roman"/>
          <w:sz w:val="24"/>
          <w:szCs w:val="24"/>
        </w:rPr>
      </w:pPr>
      <w:r w:rsidRPr="00806802">
        <w:rPr>
          <w:rFonts w:ascii="Times New Roman" w:hAnsi="Times New Roman"/>
          <w:sz w:val="24"/>
          <w:szCs w:val="24"/>
        </w:rPr>
        <w:t xml:space="preserve">Completed four facility audits, primarily on the administrative areas, including Human Resources, Payroll, Procurement, Accounts Payable, Financial Reconciliation and Fixed Assets. These audit reviews are based on the </w:t>
      </w:r>
      <w:r>
        <w:rPr>
          <w:rFonts w:ascii="Times New Roman" w:hAnsi="Times New Roman"/>
          <w:sz w:val="24"/>
          <w:szCs w:val="24"/>
        </w:rPr>
        <w:t xml:space="preserve">DBHDS policy requirements, facility policies &amp; </w:t>
      </w:r>
      <w:r w:rsidRPr="00806802">
        <w:rPr>
          <w:rFonts w:ascii="Times New Roman" w:hAnsi="Times New Roman"/>
          <w:sz w:val="24"/>
          <w:szCs w:val="24"/>
        </w:rPr>
        <w:t xml:space="preserve">procedures and state requirements including DHRM, APSPM and CAPP manual.  All facilities were selected primarily based on the Auditor of Public Accounts (APA) audit cycle. Some of the work was completed virtually, however in-person visits were conducted to </w:t>
      </w:r>
      <w:r w:rsidRPr="00806802">
        <w:rPr>
          <w:rFonts w:ascii="Times New Roman" w:hAnsi="Times New Roman"/>
          <w:sz w:val="24"/>
          <w:szCs w:val="24"/>
        </w:rPr>
        <w:lastRenderedPageBreak/>
        <w:t xml:space="preserve">complete audit work on employee documentation and any other areas that </w:t>
      </w:r>
      <w:r>
        <w:rPr>
          <w:rFonts w:ascii="Times New Roman" w:hAnsi="Times New Roman"/>
          <w:sz w:val="24"/>
          <w:szCs w:val="24"/>
        </w:rPr>
        <w:t>required</w:t>
      </w:r>
      <w:r w:rsidRPr="00806802">
        <w:rPr>
          <w:rFonts w:ascii="Times New Roman" w:hAnsi="Times New Roman"/>
          <w:sz w:val="24"/>
          <w:szCs w:val="24"/>
        </w:rPr>
        <w:t xml:space="preserve"> in-person interaction. </w:t>
      </w:r>
    </w:p>
    <w:p w14:paraId="0DB4941D" w14:textId="77777777" w:rsidR="00EC3123" w:rsidRPr="00806802" w:rsidRDefault="00EC3123" w:rsidP="0021779A">
      <w:pPr>
        <w:pStyle w:val="ListParagraph"/>
        <w:numPr>
          <w:ilvl w:val="0"/>
          <w:numId w:val="3"/>
        </w:numPr>
        <w:spacing w:line="240" w:lineRule="auto"/>
        <w:ind w:left="547"/>
        <w:jc w:val="both"/>
        <w:textAlignment w:val="baseline"/>
        <w:rPr>
          <w:rFonts w:ascii="Times New Roman" w:hAnsi="Times New Roman"/>
          <w:sz w:val="24"/>
          <w:szCs w:val="24"/>
        </w:rPr>
      </w:pPr>
      <w:r w:rsidRPr="00806802">
        <w:rPr>
          <w:rFonts w:ascii="Times New Roman" w:hAnsi="Times New Roman"/>
          <w:sz w:val="24"/>
          <w:szCs w:val="24"/>
        </w:rPr>
        <w:t>Completed five CSB audits. There were portions of these audits that were completed vir</w:t>
      </w:r>
      <w:r>
        <w:rPr>
          <w:rFonts w:ascii="Times New Roman" w:hAnsi="Times New Roman"/>
          <w:sz w:val="24"/>
          <w:szCs w:val="24"/>
        </w:rPr>
        <w:t>tually, however the audit staff made onsite visits</w:t>
      </w:r>
      <w:r w:rsidRPr="00806802">
        <w:rPr>
          <w:rFonts w:ascii="Times New Roman" w:hAnsi="Times New Roman"/>
          <w:sz w:val="24"/>
          <w:szCs w:val="24"/>
        </w:rPr>
        <w:t xml:space="preserve"> to </w:t>
      </w:r>
      <w:r>
        <w:rPr>
          <w:rFonts w:ascii="Times New Roman" w:hAnsi="Times New Roman"/>
          <w:sz w:val="24"/>
          <w:szCs w:val="24"/>
        </w:rPr>
        <w:t xml:space="preserve">primarily </w:t>
      </w:r>
      <w:r w:rsidRPr="00806802">
        <w:rPr>
          <w:rFonts w:ascii="Times New Roman" w:hAnsi="Times New Roman"/>
          <w:sz w:val="24"/>
          <w:szCs w:val="24"/>
        </w:rPr>
        <w:t xml:space="preserve">conduct audit work on patient data in the CSB’s Electronic Health Records. Each audit consists of 17 areas of programmatic and administrative review, largely tied to expectations outlined in the Performance Contract.  </w:t>
      </w:r>
    </w:p>
    <w:p w14:paraId="63A2C226" w14:textId="77777777" w:rsidR="00EC3123" w:rsidRPr="00806802" w:rsidRDefault="00EC3123" w:rsidP="0021779A">
      <w:pPr>
        <w:pStyle w:val="ListParagraph"/>
        <w:numPr>
          <w:ilvl w:val="0"/>
          <w:numId w:val="3"/>
        </w:numPr>
        <w:spacing w:line="240" w:lineRule="auto"/>
        <w:ind w:left="547"/>
        <w:jc w:val="both"/>
        <w:textAlignment w:val="baseline"/>
        <w:rPr>
          <w:rFonts w:ascii="Times New Roman" w:hAnsi="Times New Roman"/>
          <w:sz w:val="24"/>
          <w:szCs w:val="24"/>
        </w:rPr>
      </w:pPr>
      <w:r w:rsidRPr="00806802">
        <w:rPr>
          <w:rFonts w:ascii="Times New Roman" w:hAnsi="Times New Roman"/>
          <w:sz w:val="24"/>
          <w:szCs w:val="24"/>
        </w:rPr>
        <w:t>Completed the IT genera</w:t>
      </w:r>
      <w:r>
        <w:rPr>
          <w:rFonts w:ascii="Times New Roman" w:hAnsi="Times New Roman"/>
          <w:sz w:val="24"/>
          <w:szCs w:val="24"/>
        </w:rPr>
        <w:t>l security controls audit, two</w:t>
      </w:r>
      <w:r w:rsidRPr="00806802">
        <w:rPr>
          <w:rFonts w:ascii="Times New Roman" w:hAnsi="Times New Roman"/>
          <w:sz w:val="24"/>
          <w:szCs w:val="24"/>
        </w:rPr>
        <w:t xml:space="preserve"> IT system security audits, two facility physical security control audits and a physical security control audit of Central Office.</w:t>
      </w:r>
    </w:p>
    <w:p w14:paraId="75FF0CAF" w14:textId="00DECB4E" w:rsidR="00EC3123" w:rsidRPr="00806802" w:rsidRDefault="00EC3123" w:rsidP="0021779A">
      <w:pPr>
        <w:pStyle w:val="ListParagraph"/>
        <w:numPr>
          <w:ilvl w:val="0"/>
          <w:numId w:val="3"/>
        </w:numPr>
        <w:spacing w:line="240" w:lineRule="auto"/>
        <w:ind w:left="547"/>
        <w:jc w:val="both"/>
        <w:textAlignment w:val="baseline"/>
        <w:rPr>
          <w:rFonts w:ascii="Times New Roman" w:hAnsi="Times New Roman"/>
          <w:sz w:val="24"/>
          <w:szCs w:val="24"/>
        </w:rPr>
      </w:pPr>
      <w:r w:rsidRPr="00806802">
        <w:rPr>
          <w:rFonts w:ascii="Times New Roman" w:hAnsi="Times New Roman"/>
          <w:sz w:val="24"/>
          <w:szCs w:val="24"/>
        </w:rPr>
        <w:t>Completed three virtual CSB follow-up reviews. These reviews focus on areas where there are findings from previous years that have yet to be resolved by the CSB.</w:t>
      </w:r>
      <w:r>
        <w:rPr>
          <w:rFonts w:ascii="Times New Roman" w:hAnsi="Times New Roman"/>
          <w:sz w:val="24"/>
          <w:szCs w:val="24"/>
        </w:rPr>
        <w:t xml:space="preserve"> 27 of 42 (64</w:t>
      </w:r>
      <w:r w:rsidR="00C14EC5">
        <w:rPr>
          <w:rFonts w:ascii="Times New Roman" w:hAnsi="Times New Roman"/>
          <w:sz w:val="24"/>
          <w:szCs w:val="24"/>
        </w:rPr>
        <w:t xml:space="preserve"> percent</w:t>
      </w:r>
      <w:r>
        <w:rPr>
          <w:rFonts w:ascii="Times New Roman" w:hAnsi="Times New Roman"/>
          <w:sz w:val="24"/>
          <w:szCs w:val="24"/>
        </w:rPr>
        <w:t xml:space="preserve">) findings reviewed have been corrected and corresponding recommendations were implemented. </w:t>
      </w:r>
    </w:p>
    <w:p w14:paraId="54969075" w14:textId="3EAEA26B" w:rsidR="00EC3123" w:rsidRPr="00806802" w:rsidRDefault="00EC3123" w:rsidP="0021779A">
      <w:pPr>
        <w:pStyle w:val="ListParagraph"/>
        <w:numPr>
          <w:ilvl w:val="0"/>
          <w:numId w:val="3"/>
        </w:numPr>
        <w:spacing w:line="240" w:lineRule="auto"/>
        <w:ind w:left="547"/>
        <w:jc w:val="both"/>
        <w:textAlignment w:val="baseline"/>
        <w:rPr>
          <w:rFonts w:ascii="Times New Roman" w:hAnsi="Times New Roman"/>
          <w:sz w:val="24"/>
          <w:szCs w:val="24"/>
        </w:rPr>
      </w:pPr>
      <w:r w:rsidRPr="00806802">
        <w:rPr>
          <w:rFonts w:ascii="Times New Roman" w:hAnsi="Times New Roman"/>
          <w:sz w:val="24"/>
          <w:szCs w:val="24"/>
        </w:rPr>
        <w:t>Investigated and issued reports on 12 cases from the Office of the State Inspector General’s Fraud, Waste, and Abuse Hotline.</w:t>
      </w:r>
      <w:r>
        <w:rPr>
          <w:rFonts w:ascii="Times New Roman" w:hAnsi="Times New Roman"/>
          <w:sz w:val="24"/>
          <w:szCs w:val="24"/>
        </w:rPr>
        <w:t xml:space="preserve"> </w:t>
      </w:r>
    </w:p>
    <w:p w14:paraId="7EFC6216" w14:textId="77777777" w:rsidR="00EC3123" w:rsidRPr="00806802" w:rsidRDefault="00EC3123" w:rsidP="0021779A">
      <w:pPr>
        <w:pStyle w:val="ListParagraph"/>
        <w:numPr>
          <w:ilvl w:val="0"/>
          <w:numId w:val="3"/>
        </w:numPr>
        <w:spacing w:line="240" w:lineRule="auto"/>
        <w:ind w:left="547"/>
        <w:jc w:val="both"/>
        <w:textAlignment w:val="baseline"/>
        <w:rPr>
          <w:rFonts w:ascii="Times New Roman" w:hAnsi="Times New Roman"/>
          <w:sz w:val="10"/>
          <w:szCs w:val="10"/>
        </w:rPr>
      </w:pPr>
      <w:r w:rsidRPr="00806802">
        <w:rPr>
          <w:rFonts w:ascii="Times New Roman" w:hAnsi="Times New Roman"/>
          <w:color w:val="000000"/>
          <w:sz w:val="24"/>
          <w:szCs w:val="24"/>
        </w:rPr>
        <w:t>The following tables depict the audit and investigation results during FY 2022: </w:t>
      </w:r>
    </w:p>
    <w:tbl>
      <w:tblPr>
        <w:tblW w:w="5880" w:type="dxa"/>
        <w:tblInd w:w="1735" w:type="dxa"/>
        <w:tblLook w:val="04A0" w:firstRow="1" w:lastRow="0" w:firstColumn="1" w:lastColumn="0" w:noHBand="0" w:noVBand="1"/>
      </w:tblPr>
      <w:tblGrid>
        <w:gridCol w:w="5140"/>
        <w:gridCol w:w="740"/>
      </w:tblGrid>
      <w:tr w:rsidR="00EC3123" w:rsidRPr="00203F7A" w14:paraId="02AB13D4" w14:textId="77777777" w:rsidTr="00405B10">
        <w:trPr>
          <w:trHeight w:val="305"/>
        </w:trPr>
        <w:tc>
          <w:tcPr>
            <w:tcW w:w="5880" w:type="dxa"/>
            <w:gridSpan w:val="2"/>
            <w:tcBorders>
              <w:top w:val="single" w:sz="4" w:space="0" w:color="000000"/>
              <w:left w:val="single" w:sz="4" w:space="0" w:color="000000"/>
              <w:bottom w:val="single" w:sz="8" w:space="0" w:color="7F7F7F"/>
              <w:right w:val="single" w:sz="4" w:space="0" w:color="000000"/>
            </w:tcBorders>
            <w:shd w:val="clear" w:color="auto" w:fill="auto"/>
            <w:vAlign w:val="center"/>
            <w:hideMark/>
          </w:tcPr>
          <w:p w14:paraId="334BEC0A" w14:textId="022D690B" w:rsidR="00EC3123" w:rsidRPr="00203F7A" w:rsidRDefault="00EC3123" w:rsidP="00C14EC5">
            <w:pPr>
              <w:spacing w:line="200" w:lineRule="exact"/>
              <w:jc w:val="center"/>
              <w:rPr>
                <w:rFonts w:ascii="Calibri" w:hAnsi="Calibri" w:cs="Calibri"/>
                <w:b/>
                <w:bCs/>
                <w:color w:val="000000"/>
                <w:sz w:val="20"/>
                <w:szCs w:val="20"/>
              </w:rPr>
            </w:pPr>
            <w:r w:rsidRPr="00203F7A">
              <w:rPr>
                <w:rFonts w:ascii="Calibri" w:hAnsi="Calibri" w:cs="Calibri"/>
                <w:b/>
                <w:bCs/>
                <w:color w:val="000000"/>
                <w:sz w:val="20"/>
                <w:szCs w:val="20"/>
              </w:rPr>
              <w:t>FY</w:t>
            </w:r>
            <w:r w:rsidR="00C14EC5">
              <w:rPr>
                <w:rFonts w:ascii="Calibri" w:hAnsi="Calibri" w:cs="Calibri"/>
                <w:b/>
                <w:bCs/>
                <w:color w:val="000000"/>
                <w:sz w:val="20"/>
                <w:szCs w:val="20"/>
              </w:rPr>
              <w:t xml:space="preserve"> </w:t>
            </w:r>
            <w:r w:rsidR="00C14EC5" w:rsidRPr="00203F7A">
              <w:rPr>
                <w:rFonts w:ascii="Calibri" w:hAnsi="Calibri" w:cs="Calibri"/>
                <w:b/>
                <w:bCs/>
                <w:color w:val="000000"/>
                <w:sz w:val="20"/>
                <w:szCs w:val="20"/>
              </w:rPr>
              <w:t>2022 Facility</w:t>
            </w:r>
            <w:r w:rsidRPr="00203F7A">
              <w:rPr>
                <w:rFonts w:ascii="Calibri" w:hAnsi="Calibri" w:cs="Calibri"/>
                <w:b/>
                <w:bCs/>
                <w:color w:val="000000"/>
                <w:sz w:val="20"/>
                <w:szCs w:val="20"/>
              </w:rPr>
              <w:t xml:space="preserve"> Audit Summary Results</w:t>
            </w:r>
          </w:p>
        </w:tc>
      </w:tr>
      <w:tr w:rsidR="00EC3123" w:rsidRPr="00203F7A" w14:paraId="22776182" w14:textId="77777777" w:rsidTr="00405B10">
        <w:trPr>
          <w:trHeight w:val="60"/>
        </w:trPr>
        <w:tc>
          <w:tcPr>
            <w:tcW w:w="5140" w:type="dxa"/>
            <w:tcBorders>
              <w:top w:val="nil"/>
              <w:left w:val="single" w:sz="4" w:space="0" w:color="000000"/>
              <w:bottom w:val="single" w:sz="8" w:space="0" w:color="7F7F7F"/>
              <w:right w:val="nil"/>
            </w:tcBorders>
            <w:shd w:val="clear" w:color="auto" w:fill="auto"/>
            <w:vAlign w:val="center"/>
            <w:hideMark/>
          </w:tcPr>
          <w:p w14:paraId="78245779" w14:textId="77777777" w:rsidR="00EC3123" w:rsidRPr="00203F7A" w:rsidRDefault="00EC3123" w:rsidP="00C14EC5">
            <w:pPr>
              <w:spacing w:line="200" w:lineRule="exact"/>
              <w:rPr>
                <w:rFonts w:ascii="Calibri" w:hAnsi="Calibri" w:cs="Calibri"/>
                <w:color w:val="000000"/>
                <w:sz w:val="20"/>
                <w:szCs w:val="20"/>
              </w:rPr>
            </w:pPr>
            <w:r w:rsidRPr="00203F7A">
              <w:rPr>
                <w:rFonts w:ascii="Calibri" w:hAnsi="Calibri" w:cs="Calibri"/>
                <w:color w:val="000000"/>
                <w:sz w:val="20"/>
                <w:szCs w:val="20"/>
              </w:rPr>
              <w:t>Number of Findings</w:t>
            </w:r>
          </w:p>
        </w:tc>
        <w:tc>
          <w:tcPr>
            <w:tcW w:w="740" w:type="dxa"/>
            <w:tcBorders>
              <w:top w:val="nil"/>
              <w:left w:val="nil"/>
              <w:bottom w:val="single" w:sz="8" w:space="0" w:color="7F7F7F"/>
              <w:right w:val="single" w:sz="4" w:space="0" w:color="000000"/>
            </w:tcBorders>
            <w:shd w:val="clear" w:color="auto" w:fill="auto"/>
            <w:vAlign w:val="center"/>
            <w:hideMark/>
          </w:tcPr>
          <w:p w14:paraId="253CA44A" w14:textId="77777777" w:rsidR="00EC3123" w:rsidRPr="00203F7A" w:rsidRDefault="00EC3123" w:rsidP="00C14EC5">
            <w:pPr>
              <w:spacing w:line="200" w:lineRule="exact"/>
              <w:jc w:val="center"/>
              <w:rPr>
                <w:rFonts w:ascii="Calibri" w:hAnsi="Calibri" w:cs="Calibri"/>
                <w:color w:val="000000"/>
                <w:sz w:val="20"/>
                <w:szCs w:val="20"/>
              </w:rPr>
            </w:pPr>
            <w:r w:rsidRPr="00203F7A">
              <w:rPr>
                <w:rFonts w:ascii="Calibri" w:hAnsi="Calibri" w:cs="Calibri"/>
                <w:color w:val="000000"/>
                <w:sz w:val="20"/>
                <w:szCs w:val="20"/>
              </w:rPr>
              <w:t>70</w:t>
            </w:r>
          </w:p>
        </w:tc>
      </w:tr>
      <w:tr w:rsidR="00EC3123" w:rsidRPr="00203F7A" w14:paraId="64931BE9" w14:textId="77777777" w:rsidTr="00405B10">
        <w:trPr>
          <w:trHeight w:val="60"/>
        </w:trPr>
        <w:tc>
          <w:tcPr>
            <w:tcW w:w="5140" w:type="dxa"/>
            <w:tcBorders>
              <w:top w:val="nil"/>
              <w:left w:val="single" w:sz="4" w:space="0" w:color="000000"/>
              <w:bottom w:val="single" w:sz="8" w:space="0" w:color="7F7F7F"/>
              <w:right w:val="nil"/>
            </w:tcBorders>
            <w:shd w:val="clear" w:color="auto" w:fill="auto"/>
            <w:vAlign w:val="center"/>
            <w:hideMark/>
          </w:tcPr>
          <w:p w14:paraId="58E47BA9" w14:textId="77777777" w:rsidR="00EC3123" w:rsidRPr="00203F7A" w:rsidRDefault="00EC3123" w:rsidP="00C14EC5">
            <w:pPr>
              <w:spacing w:line="200" w:lineRule="exact"/>
              <w:rPr>
                <w:rFonts w:ascii="Calibri" w:hAnsi="Calibri" w:cs="Calibri"/>
                <w:color w:val="000000"/>
                <w:sz w:val="20"/>
                <w:szCs w:val="20"/>
              </w:rPr>
            </w:pPr>
            <w:r w:rsidRPr="00203F7A">
              <w:rPr>
                <w:rFonts w:ascii="Calibri" w:hAnsi="Calibri" w:cs="Calibri"/>
                <w:color w:val="000000"/>
                <w:sz w:val="20"/>
                <w:szCs w:val="20"/>
              </w:rPr>
              <w:t>Number of Recommendations for Improvement</w:t>
            </w:r>
          </w:p>
        </w:tc>
        <w:tc>
          <w:tcPr>
            <w:tcW w:w="740" w:type="dxa"/>
            <w:tcBorders>
              <w:top w:val="nil"/>
              <w:left w:val="nil"/>
              <w:bottom w:val="single" w:sz="8" w:space="0" w:color="7F7F7F"/>
              <w:right w:val="single" w:sz="4" w:space="0" w:color="000000"/>
            </w:tcBorders>
            <w:shd w:val="clear" w:color="auto" w:fill="auto"/>
            <w:vAlign w:val="center"/>
            <w:hideMark/>
          </w:tcPr>
          <w:p w14:paraId="5068EE84" w14:textId="77777777" w:rsidR="00EC3123" w:rsidRPr="00203F7A" w:rsidRDefault="00EC3123" w:rsidP="00C14EC5">
            <w:pPr>
              <w:spacing w:line="200" w:lineRule="exact"/>
              <w:jc w:val="center"/>
              <w:rPr>
                <w:rFonts w:ascii="Calibri" w:hAnsi="Calibri" w:cs="Calibri"/>
                <w:color w:val="000000"/>
                <w:sz w:val="20"/>
                <w:szCs w:val="20"/>
              </w:rPr>
            </w:pPr>
            <w:r w:rsidRPr="00203F7A">
              <w:rPr>
                <w:rFonts w:ascii="Calibri" w:hAnsi="Calibri" w:cs="Calibri"/>
                <w:color w:val="000000"/>
                <w:sz w:val="20"/>
                <w:szCs w:val="20"/>
              </w:rPr>
              <w:t>194</w:t>
            </w:r>
          </w:p>
        </w:tc>
      </w:tr>
      <w:tr w:rsidR="00EC3123" w:rsidRPr="00203F7A" w14:paraId="0D5985B8" w14:textId="77777777" w:rsidTr="00405B10">
        <w:trPr>
          <w:trHeight w:val="60"/>
        </w:trPr>
        <w:tc>
          <w:tcPr>
            <w:tcW w:w="5140" w:type="dxa"/>
            <w:tcBorders>
              <w:top w:val="nil"/>
              <w:left w:val="single" w:sz="4" w:space="0" w:color="000000"/>
              <w:bottom w:val="single" w:sz="8" w:space="0" w:color="7F7F7F"/>
              <w:right w:val="nil"/>
            </w:tcBorders>
            <w:shd w:val="clear" w:color="auto" w:fill="auto"/>
            <w:vAlign w:val="center"/>
            <w:hideMark/>
          </w:tcPr>
          <w:p w14:paraId="7AA2B14D" w14:textId="77777777" w:rsidR="00EC3123" w:rsidRPr="00203F7A" w:rsidRDefault="00EC3123" w:rsidP="00C14EC5">
            <w:pPr>
              <w:spacing w:line="200" w:lineRule="exact"/>
              <w:rPr>
                <w:rFonts w:ascii="Calibri" w:hAnsi="Calibri" w:cs="Calibri"/>
                <w:color w:val="000000"/>
                <w:sz w:val="20"/>
                <w:szCs w:val="20"/>
              </w:rPr>
            </w:pPr>
            <w:r w:rsidRPr="00203F7A">
              <w:rPr>
                <w:rFonts w:ascii="Calibri" w:hAnsi="Calibri" w:cs="Calibri"/>
                <w:color w:val="000000"/>
                <w:sz w:val="20"/>
                <w:szCs w:val="20"/>
              </w:rPr>
              <w:t>Number of Commendations Written</w:t>
            </w:r>
          </w:p>
        </w:tc>
        <w:tc>
          <w:tcPr>
            <w:tcW w:w="740" w:type="dxa"/>
            <w:tcBorders>
              <w:top w:val="nil"/>
              <w:left w:val="nil"/>
              <w:bottom w:val="single" w:sz="8" w:space="0" w:color="7F7F7F"/>
              <w:right w:val="single" w:sz="4" w:space="0" w:color="000000"/>
            </w:tcBorders>
            <w:shd w:val="clear" w:color="auto" w:fill="auto"/>
            <w:vAlign w:val="center"/>
            <w:hideMark/>
          </w:tcPr>
          <w:p w14:paraId="4E78DA3F" w14:textId="77777777" w:rsidR="00EC3123" w:rsidRPr="00203F7A" w:rsidRDefault="00EC3123" w:rsidP="00C14EC5">
            <w:pPr>
              <w:spacing w:line="200" w:lineRule="exact"/>
              <w:jc w:val="center"/>
              <w:rPr>
                <w:rFonts w:ascii="Calibri" w:hAnsi="Calibri" w:cs="Calibri"/>
                <w:color w:val="000000"/>
                <w:sz w:val="20"/>
                <w:szCs w:val="20"/>
              </w:rPr>
            </w:pPr>
            <w:r w:rsidRPr="00203F7A">
              <w:rPr>
                <w:rFonts w:ascii="Calibri" w:hAnsi="Calibri" w:cs="Calibri"/>
                <w:color w:val="000000"/>
                <w:sz w:val="20"/>
                <w:szCs w:val="20"/>
              </w:rPr>
              <w:t>1</w:t>
            </w:r>
          </w:p>
        </w:tc>
      </w:tr>
      <w:tr w:rsidR="00EC3123" w:rsidRPr="00203F7A" w14:paraId="43F46FCB" w14:textId="77777777" w:rsidTr="00405B10">
        <w:trPr>
          <w:trHeight w:val="60"/>
        </w:trPr>
        <w:tc>
          <w:tcPr>
            <w:tcW w:w="5880" w:type="dxa"/>
            <w:gridSpan w:val="2"/>
            <w:tcBorders>
              <w:top w:val="single" w:sz="4" w:space="0" w:color="000000"/>
              <w:left w:val="single" w:sz="4" w:space="0" w:color="000000"/>
              <w:bottom w:val="single" w:sz="8" w:space="0" w:color="7F7F7F"/>
              <w:right w:val="single" w:sz="4" w:space="0" w:color="000000"/>
            </w:tcBorders>
            <w:shd w:val="clear" w:color="auto" w:fill="auto"/>
            <w:vAlign w:val="center"/>
            <w:hideMark/>
          </w:tcPr>
          <w:p w14:paraId="3E6BADB9" w14:textId="232377F5" w:rsidR="00EC3123" w:rsidRPr="00203F7A" w:rsidRDefault="00EC3123" w:rsidP="00C14EC5">
            <w:pPr>
              <w:spacing w:line="200" w:lineRule="exact"/>
              <w:jc w:val="center"/>
              <w:rPr>
                <w:rFonts w:ascii="Calibri" w:hAnsi="Calibri" w:cs="Calibri"/>
                <w:b/>
                <w:bCs/>
                <w:color w:val="000000"/>
                <w:sz w:val="20"/>
                <w:szCs w:val="20"/>
              </w:rPr>
            </w:pPr>
            <w:r w:rsidRPr="00203F7A">
              <w:rPr>
                <w:rFonts w:ascii="Calibri" w:hAnsi="Calibri" w:cs="Calibri"/>
                <w:b/>
                <w:bCs/>
                <w:color w:val="000000"/>
                <w:sz w:val="20"/>
                <w:szCs w:val="20"/>
              </w:rPr>
              <w:t>FY</w:t>
            </w:r>
            <w:r w:rsidR="00C14EC5">
              <w:rPr>
                <w:rFonts w:ascii="Calibri" w:hAnsi="Calibri" w:cs="Calibri"/>
                <w:b/>
                <w:bCs/>
                <w:color w:val="000000"/>
                <w:sz w:val="20"/>
                <w:szCs w:val="20"/>
              </w:rPr>
              <w:t xml:space="preserve"> </w:t>
            </w:r>
            <w:r w:rsidRPr="00203F7A">
              <w:rPr>
                <w:rFonts w:ascii="Calibri" w:hAnsi="Calibri" w:cs="Calibri"/>
                <w:b/>
                <w:bCs/>
                <w:color w:val="000000"/>
                <w:sz w:val="20"/>
                <w:szCs w:val="20"/>
              </w:rPr>
              <w:t>2022 CSB Audit Summary Results</w:t>
            </w:r>
          </w:p>
        </w:tc>
      </w:tr>
      <w:tr w:rsidR="00EC3123" w:rsidRPr="00203F7A" w14:paraId="612861F9" w14:textId="77777777" w:rsidTr="00405B10">
        <w:trPr>
          <w:trHeight w:val="60"/>
        </w:trPr>
        <w:tc>
          <w:tcPr>
            <w:tcW w:w="5140" w:type="dxa"/>
            <w:tcBorders>
              <w:top w:val="nil"/>
              <w:left w:val="single" w:sz="4" w:space="0" w:color="000000"/>
              <w:bottom w:val="single" w:sz="8" w:space="0" w:color="7F7F7F"/>
              <w:right w:val="nil"/>
            </w:tcBorders>
            <w:shd w:val="clear" w:color="auto" w:fill="auto"/>
            <w:vAlign w:val="center"/>
            <w:hideMark/>
          </w:tcPr>
          <w:p w14:paraId="13719391" w14:textId="77777777" w:rsidR="00EC3123" w:rsidRPr="00203F7A" w:rsidRDefault="00EC3123" w:rsidP="00C14EC5">
            <w:pPr>
              <w:spacing w:line="200" w:lineRule="exact"/>
              <w:rPr>
                <w:rFonts w:ascii="Calibri" w:hAnsi="Calibri" w:cs="Calibri"/>
                <w:color w:val="000000"/>
                <w:sz w:val="20"/>
                <w:szCs w:val="20"/>
              </w:rPr>
            </w:pPr>
            <w:r w:rsidRPr="00203F7A">
              <w:rPr>
                <w:rFonts w:ascii="Calibri" w:hAnsi="Calibri" w:cs="Calibri"/>
                <w:color w:val="000000"/>
                <w:sz w:val="20"/>
                <w:szCs w:val="20"/>
              </w:rPr>
              <w:t>Number of Findings</w:t>
            </w:r>
          </w:p>
        </w:tc>
        <w:tc>
          <w:tcPr>
            <w:tcW w:w="740" w:type="dxa"/>
            <w:tcBorders>
              <w:top w:val="nil"/>
              <w:left w:val="nil"/>
              <w:bottom w:val="single" w:sz="8" w:space="0" w:color="7F7F7F"/>
              <w:right w:val="single" w:sz="4" w:space="0" w:color="000000"/>
            </w:tcBorders>
            <w:shd w:val="clear" w:color="auto" w:fill="auto"/>
            <w:vAlign w:val="center"/>
            <w:hideMark/>
          </w:tcPr>
          <w:p w14:paraId="0736ECD5" w14:textId="77777777" w:rsidR="00EC3123" w:rsidRPr="00203F7A" w:rsidRDefault="00EC3123" w:rsidP="00C14EC5">
            <w:pPr>
              <w:spacing w:line="200" w:lineRule="exact"/>
              <w:jc w:val="center"/>
              <w:rPr>
                <w:rFonts w:ascii="Calibri" w:hAnsi="Calibri" w:cs="Calibri"/>
                <w:color w:val="000000"/>
                <w:sz w:val="20"/>
                <w:szCs w:val="20"/>
              </w:rPr>
            </w:pPr>
            <w:r w:rsidRPr="00203F7A">
              <w:rPr>
                <w:rFonts w:ascii="Calibri" w:hAnsi="Calibri" w:cs="Calibri"/>
                <w:color w:val="000000"/>
                <w:sz w:val="20"/>
                <w:szCs w:val="20"/>
              </w:rPr>
              <w:t>33</w:t>
            </w:r>
          </w:p>
        </w:tc>
      </w:tr>
      <w:tr w:rsidR="00EC3123" w:rsidRPr="00203F7A" w14:paraId="22C4DD24" w14:textId="77777777" w:rsidTr="00405B10">
        <w:trPr>
          <w:trHeight w:val="60"/>
        </w:trPr>
        <w:tc>
          <w:tcPr>
            <w:tcW w:w="5140" w:type="dxa"/>
            <w:tcBorders>
              <w:top w:val="nil"/>
              <w:left w:val="single" w:sz="4" w:space="0" w:color="000000"/>
              <w:bottom w:val="single" w:sz="8" w:space="0" w:color="7F7F7F"/>
              <w:right w:val="nil"/>
            </w:tcBorders>
            <w:shd w:val="clear" w:color="auto" w:fill="auto"/>
            <w:vAlign w:val="center"/>
            <w:hideMark/>
          </w:tcPr>
          <w:p w14:paraId="654368F1" w14:textId="77777777" w:rsidR="00EC3123" w:rsidRPr="00203F7A" w:rsidRDefault="00EC3123" w:rsidP="00C14EC5">
            <w:pPr>
              <w:spacing w:line="200" w:lineRule="exact"/>
              <w:rPr>
                <w:rFonts w:ascii="Calibri" w:hAnsi="Calibri" w:cs="Calibri"/>
                <w:color w:val="000000"/>
                <w:sz w:val="20"/>
                <w:szCs w:val="20"/>
              </w:rPr>
            </w:pPr>
            <w:r w:rsidRPr="00203F7A">
              <w:rPr>
                <w:rFonts w:ascii="Calibri" w:hAnsi="Calibri" w:cs="Calibri"/>
                <w:color w:val="000000"/>
                <w:sz w:val="20"/>
                <w:szCs w:val="20"/>
              </w:rPr>
              <w:t>Number of Recommendations for Improvement</w:t>
            </w:r>
          </w:p>
        </w:tc>
        <w:tc>
          <w:tcPr>
            <w:tcW w:w="740" w:type="dxa"/>
            <w:tcBorders>
              <w:top w:val="nil"/>
              <w:left w:val="nil"/>
              <w:bottom w:val="single" w:sz="8" w:space="0" w:color="7F7F7F"/>
              <w:right w:val="single" w:sz="4" w:space="0" w:color="000000"/>
            </w:tcBorders>
            <w:shd w:val="clear" w:color="auto" w:fill="auto"/>
            <w:vAlign w:val="center"/>
            <w:hideMark/>
          </w:tcPr>
          <w:p w14:paraId="661DDD6F" w14:textId="77777777" w:rsidR="00EC3123" w:rsidRPr="00203F7A" w:rsidRDefault="00EC3123" w:rsidP="00C14EC5">
            <w:pPr>
              <w:spacing w:line="200" w:lineRule="exact"/>
              <w:jc w:val="center"/>
              <w:rPr>
                <w:rFonts w:ascii="Calibri" w:hAnsi="Calibri" w:cs="Calibri"/>
                <w:color w:val="000000"/>
                <w:sz w:val="20"/>
                <w:szCs w:val="20"/>
              </w:rPr>
            </w:pPr>
            <w:r w:rsidRPr="00203F7A">
              <w:rPr>
                <w:rFonts w:ascii="Calibri" w:hAnsi="Calibri" w:cs="Calibri"/>
                <w:color w:val="000000"/>
                <w:sz w:val="20"/>
                <w:szCs w:val="20"/>
              </w:rPr>
              <w:t>47</w:t>
            </w:r>
          </w:p>
        </w:tc>
      </w:tr>
      <w:tr w:rsidR="00EC3123" w:rsidRPr="00203F7A" w14:paraId="57102661" w14:textId="77777777" w:rsidTr="00405B10">
        <w:trPr>
          <w:trHeight w:val="60"/>
        </w:trPr>
        <w:tc>
          <w:tcPr>
            <w:tcW w:w="5140" w:type="dxa"/>
            <w:tcBorders>
              <w:top w:val="nil"/>
              <w:left w:val="single" w:sz="4" w:space="0" w:color="000000"/>
              <w:bottom w:val="single" w:sz="8" w:space="0" w:color="7F7F7F"/>
              <w:right w:val="nil"/>
            </w:tcBorders>
            <w:shd w:val="clear" w:color="auto" w:fill="auto"/>
            <w:vAlign w:val="center"/>
            <w:hideMark/>
          </w:tcPr>
          <w:p w14:paraId="7564848B" w14:textId="77777777" w:rsidR="00EC3123" w:rsidRPr="00203F7A" w:rsidRDefault="00EC3123" w:rsidP="00C14EC5">
            <w:pPr>
              <w:spacing w:line="200" w:lineRule="exact"/>
              <w:rPr>
                <w:rFonts w:ascii="Calibri" w:hAnsi="Calibri" w:cs="Calibri"/>
                <w:color w:val="000000"/>
                <w:sz w:val="20"/>
                <w:szCs w:val="20"/>
              </w:rPr>
            </w:pPr>
            <w:r w:rsidRPr="00203F7A">
              <w:rPr>
                <w:rFonts w:ascii="Calibri" w:hAnsi="Calibri" w:cs="Calibri"/>
                <w:color w:val="000000"/>
                <w:sz w:val="20"/>
                <w:szCs w:val="20"/>
              </w:rPr>
              <w:t>Number of Commendations Written</w:t>
            </w:r>
          </w:p>
        </w:tc>
        <w:tc>
          <w:tcPr>
            <w:tcW w:w="740" w:type="dxa"/>
            <w:tcBorders>
              <w:top w:val="nil"/>
              <w:left w:val="nil"/>
              <w:bottom w:val="single" w:sz="8" w:space="0" w:color="7F7F7F"/>
              <w:right w:val="single" w:sz="4" w:space="0" w:color="000000"/>
            </w:tcBorders>
            <w:shd w:val="clear" w:color="auto" w:fill="auto"/>
            <w:vAlign w:val="center"/>
            <w:hideMark/>
          </w:tcPr>
          <w:p w14:paraId="2C3DB9DD" w14:textId="77777777" w:rsidR="00EC3123" w:rsidRPr="00203F7A" w:rsidRDefault="00EC3123" w:rsidP="00C14EC5">
            <w:pPr>
              <w:spacing w:line="200" w:lineRule="exact"/>
              <w:jc w:val="center"/>
              <w:rPr>
                <w:rFonts w:ascii="Calibri" w:hAnsi="Calibri" w:cs="Calibri"/>
                <w:color w:val="000000"/>
                <w:sz w:val="20"/>
                <w:szCs w:val="20"/>
              </w:rPr>
            </w:pPr>
            <w:r w:rsidRPr="00203F7A">
              <w:rPr>
                <w:rFonts w:ascii="Calibri" w:hAnsi="Calibri" w:cs="Calibri"/>
                <w:color w:val="000000"/>
                <w:sz w:val="20"/>
                <w:szCs w:val="20"/>
              </w:rPr>
              <w:t>33</w:t>
            </w:r>
          </w:p>
        </w:tc>
      </w:tr>
      <w:tr w:rsidR="00EC3123" w:rsidRPr="00203F7A" w14:paraId="28F760D7" w14:textId="77777777" w:rsidTr="00405B10">
        <w:trPr>
          <w:trHeight w:val="60"/>
        </w:trPr>
        <w:tc>
          <w:tcPr>
            <w:tcW w:w="5880" w:type="dxa"/>
            <w:gridSpan w:val="2"/>
            <w:tcBorders>
              <w:top w:val="single" w:sz="8" w:space="0" w:color="7F7F7F"/>
              <w:left w:val="single" w:sz="4" w:space="0" w:color="000000"/>
              <w:bottom w:val="single" w:sz="8" w:space="0" w:color="7F7F7F"/>
              <w:right w:val="single" w:sz="4" w:space="0" w:color="000000"/>
            </w:tcBorders>
            <w:shd w:val="clear" w:color="auto" w:fill="auto"/>
            <w:vAlign w:val="center"/>
            <w:hideMark/>
          </w:tcPr>
          <w:p w14:paraId="219D41F0" w14:textId="22BDA4E2" w:rsidR="00EC3123" w:rsidRPr="00203F7A" w:rsidRDefault="00EC3123" w:rsidP="00C14EC5">
            <w:pPr>
              <w:spacing w:line="200" w:lineRule="exact"/>
              <w:jc w:val="center"/>
              <w:rPr>
                <w:rFonts w:ascii="Calibri" w:hAnsi="Calibri" w:cs="Calibri"/>
                <w:b/>
                <w:bCs/>
                <w:color w:val="000000"/>
                <w:sz w:val="20"/>
                <w:szCs w:val="20"/>
              </w:rPr>
            </w:pPr>
            <w:r w:rsidRPr="00203F7A">
              <w:rPr>
                <w:rFonts w:ascii="Calibri" w:hAnsi="Calibri" w:cs="Calibri"/>
                <w:b/>
                <w:bCs/>
                <w:color w:val="000000"/>
                <w:sz w:val="20"/>
                <w:szCs w:val="20"/>
              </w:rPr>
              <w:t>FY</w:t>
            </w:r>
            <w:r w:rsidR="00C14EC5">
              <w:rPr>
                <w:rFonts w:ascii="Calibri" w:hAnsi="Calibri" w:cs="Calibri"/>
                <w:b/>
                <w:bCs/>
                <w:color w:val="000000"/>
                <w:sz w:val="20"/>
                <w:szCs w:val="20"/>
              </w:rPr>
              <w:t xml:space="preserve"> </w:t>
            </w:r>
            <w:r w:rsidRPr="00203F7A">
              <w:rPr>
                <w:rFonts w:ascii="Calibri" w:hAnsi="Calibri" w:cs="Calibri"/>
                <w:b/>
                <w:bCs/>
                <w:color w:val="000000"/>
                <w:sz w:val="20"/>
                <w:szCs w:val="20"/>
              </w:rPr>
              <w:t>2022 Follow up Review Results</w:t>
            </w:r>
          </w:p>
        </w:tc>
      </w:tr>
      <w:tr w:rsidR="00EC3123" w:rsidRPr="00203F7A" w14:paraId="3045B60D" w14:textId="77777777" w:rsidTr="00405B10">
        <w:trPr>
          <w:trHeight w:val="60"/>
        </w:trPr>
        <w:tc>
          <w:tcPr>
            <w:tcW w:w="5140" w:type="dxa"/>
            <w:tcBorders>
              <w:top w:val="nil"/>
              <w:left w:val="single" w:sz="4" w:space="0" w:color="000000"/>
              <w:bottom w:val="single" w:sz="8" w:space="0" w:color="7F7F7F"/>
              <w:right w:val="nil"/>
            </w:tcBorders>
            <w:shd w:val="clear" w:color="auto" w:fill="auto"/>
            <w:vAlign w:val="center"/>
            <w:hideMark/>
          </w:tcPr>
          <w:p w14:paraId="354AEAFA" w14:textId="77777777" w:rsidR="00EC3123" w:rsidRPr="00203F7A" w:rsidRDefault="00EC3123" w:rsidP="00C14EC5">
            <w:pPr>
              <w:spacing w:line="200" w:lineRule="exact"/>
              <w:rPr>
                <w:rFonts w:ascii="Calibri" w:hAnsi="Calibri" w:cs="Calibri"/>
                <w:color w:val="000000"/>
                <w:sz w:val="20"/>
                <w:szCs w:val="20"/>
              </w:rPr>
            </w:pPr>
            <w:r w:rsidRPr="00203F7A">
              <w:rPr>
                <w:rFonts w:ascii="Calibri" w:hAnsi="Calibri" w:cs="Calibri"/>
                <w:color w:val="000000"/>
                <w:sz w:val="20"/>
                <w:szCs w:val="20"/>
              </w:rPr>
              <w:t>Number of findings reviewed</w:t>
            </w:r>
          </w:p>
        </w:tc>
        <w:tc>
          <w:tcPr>
            <w:tcW w:w="740" w:type="dxa"/>
            <w:tcBorders>
              <w:top w:val="nil"/>
              <w:left w:val="nil"/>
              <w:bottom w:val="single" w:sz="8" w:space="0" w:color="7F7F7F"/>
              <w:right w:val="single" w:sz="4" w:space="0" w:color="000000"/>
            </w:tcBorders>
            <w:shd w:val="clear" w:color="auto" w:fill="auto"/>
            <w:vAlign w:val="center"/>
            <w:hideMark/>
          </w:tcPr>
          <w:p w14:paraId="16254E9E" w14:textId="77777777" w:rsidR="00EC3123" w:rsidRPr="00203F7A" w:rsidRDefault="00EC3123" w:rsidP="00C14EC5">
            <w:pPr>
              <w:spacing w:line="200" w:lineRule="exact"/>
              <w:jc w:val="center"/>
              <w:rPr>
                <w:rFonts w:ascii="Calibri" w:hAnsi="Calibri" w:cs="Calibri"/>
                <w:color w:val="000000"/>
                <w:sz w:val="20"/>
                <w:szCs w:val="20"/>
              </w:rPr>
            </w:pPr>
            <w:r w:rsidRPr="00203F7A">
              <w:rPr>
                <w:rFonts w:ascii="Calibri" w:hAnsi="Calibri" w:cs="Calibri"/>
                <w:color w:val="000000"/>
                <w:sz w:val="20"/>
                <w:szCs w:val="20"/>
              </w:rPr>
              <w:t>48</w:t>
            </w:r>
          </w:p>
        </w:tc>
      </w:tr>
      <w:tr w:rsidR="00EC3123" w:rsidRPr="00203F7A" w14:paraId="48ADF5F4" w14:textId="77777777" w:rsidTr="00405B10">
        <w:trPr>
          <w:trHeight w:val="60"/>
        </w:trPr>
        <w:tc>
          <w:tcPr>
            <w:tcW w:w="5880" w:type="dxa"/>
            <w:gridSpan w:val="2"/>
            <w:tcBorders>
              <w:top w:val="single" w:sz="4" w:space="0" w:color="000000"/>
              <w:left w:val="single" w:sz="4" w:space="0" w:color="000000"/>
              <w:bottom w:val="single" w:sz="8" w:space="0" w:color="7F7F7F"/>
              <w:right w:val="single" w:sz="4" w:space="0" w:color="000000"/>
            </w:tcBorders>
            <w:shd w:val="clear" w:color="auto" w:fill="auto"/>
            <w:vAlign w:val="center"/>
            <w:hideMark/>
          </w:tcPr>
          <w:p w14:paraId="7D65E277" w14:textId="606B4964" w:rsidR="00EC3123" w:rsidRPr="00203F7A" w:rsidRDefault="00EC3123" w:rsidP="00C14EC5">
            <w:pPr>
              <w:spacing w:line="200" w:lineRule="exact"/>
              <w:jc w:val="center"/>
              <w:rPr>
                <w:rFonts w:ascii="Calibri" w:hAnsi="Calibri" w:cs="Calibri"/>
                <w:b/>
                <w:bCs/>
                <w:color w:val="000000"/>
                <w:sz w:val="20"/>
                <w:szCs w:val="20"/>
              </w:rPr>
            </w:pPr>
            <w:r w:rsidRPr="00203F7A">
              <w:rPr>
                <w:rFonts w:ascii="Calibri" w:hAnsi="Calibri" w:cs="Calibri"/>
                <w:b/>
                <w:bCs/>
                <w:color w:val="000000"/>
                <w:sz w:val="20"/>
                <w:szCs w:val="20"/>
              </w:rPr>
              <w:t>F</w:t>
            </w:r>
            <w:r w:rsidR="00C14EC5">
              <w:rPr>
                <w:rFonts w:ascii="Calibri" w:hAnsi="Calibri" w:cs="Calibri"/>
                <w:b/>
                <w:bCs/>
                <w:color w:val="000000"/>
                <w:sz w:val="20"/>
                <w:szCs w:val="20"/>
              </w:rPr>
              <w:t xml:space="preserve"> </w:t>
            </w:r>
            <w:r w:rsidRPr="00203F7A">
              <w:rPr>
                <w:rFonts w:ascii="Calibri" w:hAnsi="Calibri" w:cs="Calibri"/>
                <w:b/>
                <w:bCs/>
                <w:color w:val="000000"/>
                <w:sz w:val="20"/>
                <w:szCs w:val="20"/>
              </w:rPr>
              <w:t>Y2022 Information Technology Audit Summary Results</w:t>
            </w:r>
          </w:p>
        </w:tc>
      </w:tr>
      <w:tr w:rsidR="00EC3123" w:rsidRPr="00203F7A" w14:paraId="2C9AB631" w14:textId="77777777" w:rsidTr="00405B10">
        <w:trPr>
          <w:trHeight w:val="60"/>
        </w:trPr>
        <w:tc>
          <w:tcPr>
            <w:tcW w:w="5140" w:type="dxa"/>
            <w:tcBorders>
              <w:top w:val="nil"/>
              <w:left w:val="single" w:sz="4" w:space="0" w:color="000000"/>
              <w:bottom w:val="single" w:sz="8" w:space="0" w:color="7F7F7F"/>
              <w:right w:val="nil"/>
            </w:tcBorders>
            <w:shd w:val="clear" w:color="auto" w:fill="auto"/>
            <w:vAlign w:val="center"/>
            <w:hideMark/>
          </w:tcPr>
          <w:p w14:paraId="54C15BE5" w14:textId="77777777" w:rsidR="00EC3123" w:rsidRPr="00203F7A" w:rsidRDefault="00EC3123" w:rsidP="00C14EC5">
            <w:pPr>
              <w:spacing w:line="200" w:lineRule="exact"/>
              <w:rPr>
                <w:rFonts w:ascii="Calibri" w:hAnsi="Calibri" w:cs="Calibri"/>
                <w:color w:val="000000"/>
                <w:sz w:val="20"/>
                <w:szCs w:val="20"/>
              </w:rPr>
            </w:pPr>
            <w:r w:rsidRPr="00203F7A">
              <w:rPr>
                <w:rFonts w:ascii="Calibri" w:hAnsi="Calibri" w:cs="Calibri"/>
                <w:color w:val="000000"/>
                <w:sz w:val="20"/>
                <w:szCs w:val="20"/>
              </w:rPr>
              <w:t>Number of Findings</w:t>
            </w:r>
          </w:p>
        </w:tc>
        <w:tc>
          <w:tcPr>
            <w:tcW w:w="740" w:type="dxa"/>
            <w:tcBorders>
              <w:top w:val="nil"/>
              <w:left w:val="nil"/>
              <w:bottom w:val="single" w:sz="8" w:space="0" w:color="7F7F7F"/>
              <w:right w:val="single" w:sz="4" w:space="0" w:color="000000"/>
            </w:tcBorders>
            <w:shd w:val="clear" w:color="auto" w:fill="auto"/>
            <w:vAlign w:val="center"/>
            <w:hideMark/>
          </w:tcPr>
          <w:p w14:paraId="18EF3A42" w14:textId="77777777" w:rsidR="00EC3123" w:rsidRPr="00203F7A" w:rsidRDefault="00EC3123" w:rsidP="00C14EC5">
            <w:pPr>
              <w:spacing w:line="200" w:lineRule="exact"/>
              <w:jc w:val="center"/>
              <w:rPr>
                <w:rFonts w:ascii="Calibri" w:hAnsi="Calibri" w:cs="Calibri"/>
                <w:color w:val="000000"/>
                <w:sz w:val="20"/>
                <w:szCs w:val="20"/>
              </w:rPr>
            </w:pPr>
            <w:r w:rsidRPr="00203F7A">
              <w:rPr>
                <w:rFonts w:ascii="Calibri" w:hAnsi="Calibri" w:cs="Calibri"/>
                <w:color w:val="000000"/>
                <w:sz w:val="20"/>
                <w:szCs w:val="20"/>
              </w:rPr>
              <w:t>39</w:t>
            </w:r>
          </w:p>
        </w:tc>
      </w:tr>
      <w:tr w:rsidR="00EC3123" w:rsidRPr="00203F7A" w14:paraId="54DE6D56" w14:textId="77777777" w:rsidTr="00405B10">
        <w:trPr>
          <w:trHeight w:val="60"/>
        </w:trPr>
        <w:tc>
          <w:tcPr>
            <w:tcW w:w="5140" w:type="dxa"/>
            <w:tcBorders>
              <w:top w:val="nil"/>
              <w:left w:val="single" w:sz="4" w:space="0" w:color="000000"/>
              <w:bottom w:val="single" w:sz="8" w:space="0" w:color="7F7F7F"/>
              <w:right w:val="nil"/>
            </w:tcBorders>
            <w:shd w:val="clear" w:color="auto" w:fill="auto"/>
            <w:vAlign w:val="center"/>
            <w:hideMark/>
          </w:tcPr>
          <w:p w14:paraId="464C42D4" w14:textId="77777777" w:rsidR="00EC3123" w:rsidRPr="00203F7A" w:rsidRDefault="00EC3123" w:rsidP="00C14EC5">
            <w:pPr>
              <w:spacing w:line="200" w:lineRule="exact"/>
              <w:rPr>
                <w:rFonts w:ascii="Calibri" w:hAnsi="Calibri" w:cs="Calibri"/>
                <w:color w:val="000000"/>
                <w:sz w:val="20"/>
                <w:szCs w:val="20"/>
              </w:rPr>
            </w:pPr>
            <w:r w:rsidRPr="00203F7A">
              <w:rPr>
                <w:rFonts w:ascii="Calibri" w:hAnsi="Calibri" w:cs="Calibri"/>
                <w:color w:val="000000"/>
                <w:sz w:val="20"/>
                <w:szCs w:val="20"/>
              </w:rPr>
              <w:t>Number of Recommendations for Improvement</w:t>
            </w:r>
          </w:p>
        </w:tc>
        <w:tc>
          <w:tcPr>
            <w:tcW w:w="740" w:type="dxa"/>
            <w:tcBorders>
              <w:top w:val="nil"/>
              <w:left w:val="nil"/>
              <w:bottom w:val="single" w:sz="8" w:space="0" w:color="7F7F7F"/>
              <w:right w:val="single" w:sz="4" w:space="0" w:color="000000"/>
            </w:tcBorders>
            <w:shd w:val="clear" w:color="auto" w:fill="auto"/>
            <w:vAlign w:val="center"/>
            <w:hideMark/>
          </w:tcPr>
          <w:p w14:paraId="76AC8E5D" w14:textId="77777777" w:rsidR="00EC3123" w:rsidRPr="00203F7A" w:rsidRDefault="00EC3123" w:rsidP="00C14EC5">
            <w:pPr>
              <w:spacing w:line="200" w:lineRule="exact"/>
              <w:jc w:val="center"/>
              <w:rPr>
                <w:rFonts w:ascii="Calibri" w:hAnsi="Calibri" w:cs="Calibri"/>
                <w:color w:val="000000"/>
                <w:sz w:val="20"/>
                <w:szCs w:val="20"/>
              </w:rPr>
            </w:pPr>
            <w:r w:rsidRPr="00203F7A">
              <w:rPr>
                <w:rFonts w:ascii="Calibri" w:hAnsi="Calibri" w:cs="Calibri"/>
                <w:color w:val="000000"/>
                <w:sz w:val="20"/>
                <w:szCs w:val="20"/>
              </w:rPr>
              <w:t>54</w:t>
            </w:r>
          </w:p>
        </w:tc>
      </w:tr>
      <w:tr w:rsidR="00EC3123" w:rsidRPr="00203F7A" w14:paraId="423442C3" w14:textId="77777777" w:rsidTr="00405B10">
        <w:trPr>
          <w:trHeight w:val="60"/>
        </w:trPr>
        <w:tc>
          <w:tcPr>
            <w:tcW w:w="5140" w:type="dxa"/>
            <w:tcBorders>
              <w:top w:val="nil"/>
              <w:left w:val="single" w:sz="4" w:space="0" w:color="000000"/>
              <w:bottom w:val="single" w:sz="8" w:space="0" w:color="7F7F7F"/>
              <w:right w:val="nil"/>
            </w:tcBorders>
            <w:shd w:val="clear" w:color="auto" w:fill="auto"/>
            <w:vAlign w:val="center"/>
            <w:hideMark/>
          </w:tcPr>
          <w:p w14:paraId="74155747" w14:textId="77777777" w:rsidR="00EC3123" w:rsidRPr="00203F7A" w:rsidRDefault="00EC3123" w:rsidP="00C14EC5">
            <w:pPr>
              <w:spacing w:line="200" w:lineRule="exact"/>
              <w:rPr>
                <w:rFonts w:ascii="Calibri" w:hAnsi="Calibri" w:cs="Calibri"/>
                <w:color w:val="000000"/>
                <w:sz w:val="20"/>
                <w:szCs w:val="20"/>
              </w:rPr>
            </w:pPr>
            <w:r w:rsidRPr="00203F7A">
              <w:rPr>
                <w:rFonts w:ascii="Calibri" w:hAnsi="Calibri" w:cs="Calibri"/>
                <w:color w:val="000000"/>
                <w:sz w:val="20"/>
                <w:szCs w:val="20"/>
              </w:rPr>
              <w:t>Number of Commendations Written</w:t>
            </w:r>
          </w:p>
        </w:tc>
        <w:tc>
          <w:tcPr>
            <w:tcW w:w="740" w:type="dxa"/>
            <w:tcBorders>
              <w:top w:val="nil"/>
              <w:left w:val="nil"/>
              <w:bottom w:val="single" w:sz="8" w:space="0" w:color="7F7F7F"/>
              <w:right w:val="single" w:sz="4" w:space="0" w:color="000000"/>
            </w:tcBorders>
            <w:shd w:val="clear" w:color="auto" w:fill="auto"/>
            <w:vAlign w:val="center"/>
            <w:hideMark/>
          </w:tcPr>
          <w:p w14:paraId="71C2333B" w14:textId="77777777" w:rsidR="00EC3123" w:rsidRPr="00203F7A" w:rsidRDefault="00EC3123" w:rsidP="00C14EC5">
            <w:pPr>
              <w:spacing w:line="200" w:lineRule="exact"/>
              <w:jc w:val="center"/>
              <w:rPr>
                <w:rFonts w:ascii="Calibri" w:hAnsi="Calibri" w:cs="Calibri"/>
                <w:color w:val="000000"/>
                <w:sz w:val="20"/>
                <w:szCs w:val="20"/>
              </w:rPr>
            </w:pPr>
            <w:r w:rsidRPr="00203F7A">
              <w:rPr>
                <w:rFonts w:ascii="Calibri" w:hAnsi="Calibri" w:cs="Calibri"/>
                <w:color w:val="000000"/>
                <w:sz w:val="20"/>
                <w:szCs w:val="20"/>
              </w:rPr>
              <w:t>3</w:t>
            </w:r>
          </w:p>
        </w:tc>
      </w:tr>
      <w:tr w:rsidR="00EC3123" w:rsidRPr="00203F7A" w14:paraId="071F3267" w14:textId="77777777" w:rsidTr="00405B10">
        <w:trPr>
          <w:trHeight w:val="60"/>
        </w:trPr>
        <w:tc>
          <w:tcPr>
            <w:tcW w:w="5880" w:type="dxa"/>
            <w:gridSpan w:val="2"/>
            <w:tcBorders>
              <w:top w:val="single" w:sz="4" w:space="0" w:color="000000"/>
              <w:left w:val="single" w:sz="4" w:space="0" w:color="000000"/>
              <w:bottom w:val="single" w:sz="8" w:space="0" w:color="7F7F7F"/>
              <w:right w:val="single" w:sz="4" w:space="0" w:color="000000"/>
            </w:tcBorders>
            <w:shd w:val="clear" w:color="auto" w:fill="auto"/>
            <w:vAlign w:val="center"/>
            <w:hideMark/>
          </w:tcPr>
          <w:p w14:paraId="69F21512" w14:textId="77777777" w:rsidR="00EC3123" w:rsidRPr="00203F7A" w:rsidRDefault="00EC3123" w:rsidP="00C14EC5">
            <w:pPr>
              <w:spacing w:line="200" w:lineRule="exact"/>
              <w:jc w:val="center"/>
              <w:rPr>
                <w:rFonts w:ascii="Calibri" w:hAnsi="Calibri" w:cs="Calibri"/>
                <w:b/>
                <w:bCs/>
                <w:color w:val="000000"/>
                <w:sz w:val="20"/>
                <w:szCs w:val="20"/>
              </w:rPr>
            </w:pPr>
            <w:r w:rsidRPr="00203F7A">
              <w:rPr>
                <w:rFonts w:ascii="Calibri" w:hAnsi="Calibri" w:cs="Calibri"/>
                <w:b/>
                <w:bCs/>
                <w:color w:val="000000"/>
                <w:sz w:val="20"/>
                <w:szCs w:val="20"/>
              </w:rPr>
              <w:t>Other Results</w:t>
            </w:r>
          </w:p>
        </w:tc>
      </w:tr>
      <w:tr w:rsidR="00EC3123" w:rsidRPr="00203F7A" w14:paraId="2528E415" w14:textId="77777777" w:rsidTr="00405B10">
        <w:trPr>
          <w:trHeight w:val="60"/>
        </w:trPr>
        <w:tc>
          <w:tcPr>
            <w:tcW w:w="5140" w:type="dxa"/>
            <w:tcBorders>
              <w:top w:val="nil"/>
              <w:left w:val="single" w:sz="4" w:space="0" w:color="000000"/>
              <w:bottom w:val="single" w:sz="8" w:space="0" w:color="7F7F7F"/>
              <w:right w:val="nil"/>
            </w:tcBorders>
            <w:shd w:val="clear" w:color="auto" w:fill="auto"/>
            <w:vAlign w:val="center"/>
            <w:hideMark/>
          </w:tcPr>
          <w:p w14:paraId="52DD4B3F" w14:textId="77777777" w:rsidR="00EC3123" w:rsidRPr="00203F7A" w:rsidRDefault="00EC3123" w:rsidP="00C14EC5">
            <w:pPr>
              <w:spacing w:line="200" w:lineRule="exact"/>
              <w:rPr>
                <w:rFonts w:ascii="Calibri" w:hAnsi="Calibri" w:cs="Calibri"/>
                <w:color w:val="000000"/>
                <w:sz w:val="20"/>
                <w:szCs w:val="20"/>
              </w:rPr>
            </w:pPr>
            <w:r w:rsidRPr="00203F7A">
              <w:rPr>
                <w:rFonts w:ascii="Calibri" w:hAnsi="Calibri" w:cs="Calibri"/>
                <w:color w:val="000000"/>
                <w:sz w:val="20"/>
                <w:szCs w:val="20"/>
              </w:rPr>
              <w:t>OSIG Fraud, Waste, and Abuse Hotline Reports Issued</w:t>
            </w:r>
          </w:p>
        </w:tc>
        <w:tc>
          <w:tcPr>
            <w:tcW w:w="740" w:type="dxa"/>
            <w:tcBorders>
              <w:top w:val="nil"/>
              <w:left w:val="nil"/>
              <w:bottom w:val="single" w:sz="8" w:space="0" w:color="7F7F7F"/>
              <w:right w:val="single" w:sz="4" w:space="0" w:color="000000"/>
            </w:tcBorders>
            <w:shd w:val="clear" w:color="auto" w:fill="auto"/>
            <w:vAlign w:val="center"/>
            <w:hideMark/>
          </w:tcPr>
          <w:p w14:paraId="0E9C81B6" w14:textId="77777777" w:rsidR="00EC3123" w:rsidRPr="00203F7A" w:rsidRDefault="00EC3123" w:rsidP="00C14EC5">
            <w:pPr>
              <w:spacing w:line="200" w:lineRule="exact"/>
              <w:jc w:val="center"/>
              <w:rPr>
                <w:rFonts w:ascii="Calibri" w:hAnsi="Calibri" w:cs="Calibri"/>
                <w:color w:val="000000"/>
                <w:sz w:val="20"/>
                <w:szCs w:val="20"/>
              </w:rPr>
            </w:pPr>
            <w:r w:rsidRPr="00203F7A">
              <w:rPr>
                <w:rFonts w:ascii="Calibri" w:hAnsi="Calibri" w:cs="Calibri"/>
                <w:color w:val="000000"/>
                <w:sz w:val="20"/>
                <w:szCs w:val="20"/>
              </w:rPr>
              <w:t>12</w:t>
            </w:r>
          </w:p>
        </w:tc>
      </w:tr>
      <w:tr w:rsidR="00EC3123" w:rsidRPr="00203F7A" w14:paraId="48909111" w14:textId="77777777" w:rsidTr="00405B10">
        <w:trPr>
          <w:trHeight w:val="60"/>
        </w:trPr>
        <w:tc>
          <w:tcPr>
            <w:tcW w:w="5140" w:type="dxa"/>
            <w:tcBorders>
              <w:top w:val="nil"/>
              <w:left w:val="single" w:sz="4" w:space="0" w:color="000000"/>
              <w:bottom w:val="single" w:sz="8" w:space="0" w:color="7F7F7F"/>
              <w:right w:val="nil"/>
            </w:tcBorders>
            <w:shd w:val="clear" w:color="auto" w:fill="auto"/>
            <w:vAlign w:val="center"/>
            <w:hideMark/>
          </w:tcPr>
          <w:p w14:paraId="2CC2BF9D" w14:textId="77777777" w:rsidR="00EC3123" w:rsidRPr="00203F7A" w:rsidRDefault="00EC3123" w:rsidP="00C14EC5">
            <w:pPr>
              <w:spacing w:line="200" w:lineRule="exact"/>
              <w:rPr>
                <w:rFonts w:ascii="Calibri" w:hAnsi="Calibri" w:cs="Calibri"/>
                <w:color w:val="000000"/>
                <w:sz w:val="20"/>
                <w:szCs w:val="20"/>
              </w:rPr>
            </w:pPr>
            <w:r w:rsidRPr="00203F7A">
              <w:rPr>
                <w:rFonts w:ascii="Calibri" w:hAnsi="Calibri" w:cs="Calibri"/>
                <w:color w:val="000000"/>
                <w:sz w:val="20"/>
                <w:szCs w:val="20"/>
              </w:rPr>
              <w:t>Leave Verification Reports</w:t>
            </w:r>
          </w:p>
        </w:tc>
        <w:tc>
          <w:tcPr>
            <w:tcW w:w="740" w:type="dxa"/>
            <w:tcBorders>
              <w:top w:val="nil"/>
              <w:left w:val="nil"/>
              <w:bottom w:val="single" w:sz="8" w:space="0" w:color="7F7F7F"/>
              <w:right w:val="single" w:sz="4" w:space="0" w:color="000000"/>
            </w:tcBorders>
            <w:shd w:val="clear" w:color="auto" w:fill="auto"/>
            <w:vAlign w:val="center"/>
            <w:hideMark/>
          </w:tcPr>
          <w:p w14:paraId="463DB689" w14:textId="77777777" w:rsidR="00EC3123" w:rsidRPr="00203F7A" w:rsidRDefault="00EC3123" w:rsidP="00C14EC5">
            <w:pPr>
              <w:spacing w:line="200" w:lineRule="exact"/>
              <w:jc w:val="center"/>
              <w:rPr>
                <w:rFonts w:ascii="Calibri" w:hAnsi="Calibri" w:cs="Calibri"/>
                <w:color w:val="000000"/>
                <w:sz w:val="20"/>
                <w:szCs w:val="20"/>
              </w:rPr>
            </w:pPr>
            <w:r w:rsidRPr="00203F7A">
              <w:rPr>
                <w:rFonts w:ascii="Calibri" w:hAnsi="Calibri" w:cs="Calibri"/>
                <w:color w:val="000000"/>
                <w:sz w:val="20"/>
                <w:szCs w:val="20"/>
              </w:rPr>
              <w:t>46</w:t>
            </w:r>
          </w:p>
        </w:tc>
      </w:tr>
    </w:tbl>
    <w:p w14:paraId="601E5C95" w14:textId="3A2CA944" w:rsidR="00EC3123" w:rsidRDefault="00EC3123" w:rsidP="00F46923">
      <w:pPr>
        <w:pStyle w:val="NoSpacing"/>
        <w:rPr>
          <w:rStyle w:val="normaltextrun"/>
          <w:b/>
          <w:bCs/>
          <w:color w:val="FF0000"/>
          <w:sz w:val="24"/>
          <w:szCs w:val="24"/>
        </w:rPr>
      </w:pPr>
    </w:p>
    <w:p w14:paraId="7EF3435C" w14:textId="4C99A927" w:rsidR="00EC3123" w:rsidRDefault="00EC3123" w:rsidP="00F46923">
      <w:pPr>
        <w:pStyle w:val="NoSpacing"/>
        <w:rPr>
          <w:rFonts w:ascii="Times New Roman" w:hAnsi="Times New Roman"/>
          <w:b/>
          <w:i/>
          <w:sz w:val="26"/>
          <w:szCs w:val="26"/>
        </w:rPr>
      </w:pPr>
      <w:r w:rsidRPr="00B62B54">
        <w:rPr>
          <w:rFonts w:ascii="Times New Roman" w:hAnsi="Times New Roman"/>
          <w:b/>
          <w:i/>
          <w:sz w:val="26"/>
          <w:szCs w:val="26"/>
        </w:rPr>
        <w:t>Procurement and Administrative Services</w:t>
      </w:r>
    </w:p>
    <w:p w14:paraId="708D35B3" w14:textId="77777777" w:rsidR="00C14EC5" w:rsidRPr="00B62B54" w:rsidRDefault="00C14EC5" w:rsidP="009054AA">
      <w:pPr>
        <w:pStyle w:val="NoSpacing"/>
        <w:numPr>
          <w:ilvl w:val="0"/>
          <w:numId w:val="19"/>
        </w:numPr>
        <w:ind w:left="540"/>
        <w:rPr>
          <w:rFonts w:ascii="Times New Roman" w:hAnsi="Times New Roman"/>
          <w:sz w:val="24"/>
          <w:szCs w:val="24"/>
        </w:rPr>
      </w:pPr>
      <w:r>
        <w:rPr>
          <w:rFonts w:ascii="Times New Roman" w:hAnsi="Times New Roman"/>
          <w:sz w:val="24"/>
          <w:szCs w:val="24"/>
        </w:rPr>
        <w:t>Executed and managed 235 contracts totaling more than $164 million of contractual obligations on behalf of DBHDS.</w:t>
      </w:r>
    </w:p>
    <w:p w14:paraId="556C0BA5" w14:textId="77777777" w:rsidR="00EC3123" w:rsidRDefault="00EC3123" w:rsidP="009054AA">
      <w:pPr>
        <w:pStyle w:val="NoSpacing"/>
        <w:numPr>
          <w:ilvl w:val="0"/>
          <w:numId w:val="19"/>
        </w:numPr>
        <w:ind w:left="540"/>
        <w:rPr>
          <w:rFonts w:ascii="Times New Roman" w:hAnsi="Times New Roman"/>
          <w:sz w:val="24"/>
          <w:szCs w:val="24"/>
        </w:rPr>
      </w:pPr>
      <w:r>
        <w:rPr>
          <w:rFonts w:ascii="Times New Roman" w:hAnsi="Times New Roman"/>
          <w:sz w:val="24"/>
          <w:szCs w:val="24"/>
        </w:rPr>
        <w:t xml:space="preserve">Participated in user testing and led effort to for staff training in anticipation of conversion to the new </w:t>
      </w:r>
      <w:proofErr w:type="spellStart"/>
      <w:r>
        <w:rPr>
          <w:rFonts w:ascii="Times New Roman" w:hAnsi="Times New Roman"/>
          <w:sz w:val="24"/>
          <w:szCs w:val="24"/>
        </w:rPr>
        <w:t>eVA</w:t>
      </w:r>
      <w:proofErr w:type="spellEnd"/>
      <w:r>
        <w:rPr>
          <w:rFonts w:ascii="Times New Roman" w:hAnsi="Times New Roman"/>
          <w:sz w:val="24"/>
          <w:szCs w:val="24"/>
        </w:rPr>
        <w:t xml:space="preserve"> procurement platform.</w:t>
      </w:r>
      <w:r w:rsidRPr="00B62B54">
        <w:rPr>
          <w:rFonts w:ascii="Times New Roman" w:hAnsi="Times New Roman"/>
          <w:sz w:val="24"/>
          <w:szCs w:val="24"/>
        </w:rPr>
        <w:t>  </w:t>
      </w:r>
    </w:p>
    <w:p w14:paraId="2D079016" w14:textId="57B71AEA" w:rsidR="00EC3123" w:rsidRPr="00B62B54" w:rsidRDefault="00EC3123" w:rsidP="009054AA">
      <w:pPr>
        <w:pStyle w:val="NoSpacing"/>
        <w:numPr>
          <w:ilvl w:val="0"/>
          <w:numId w:val="19"/>
        </w:numPr>
        <w:ind w:left="540"/>
        <w:rPr>
          <w:rFonts w:ascii="Times New Roman" w:hAnsi="Times New Roman"/>
          <w:sz w:val="24"/>
          <w:szCs w:val="24"/>
        </w:rPr>
      </w:pPr>
      <w:r>
        <w:rPr>
          <w:rFonts w:ascii="Times New Roman" w:hAnsi="Times New Roman"/>
          <w:sz w:val="24"/>
          <w:szCs w:val="24"/>
        </w:rPr>
        <w:t xml:space="preserve">Helped consolidate and manage office space to utilize </w:t>
      </w:r>
      <w:r w:rsidR="00C14EC5">
        <w:rPr>
          <w:rFonts w:ascii="Times New Roman" w:hAnsi="Times New Roman"/>
          <w:sz w:val="24"/>
          <w:szCs w:val="24"/>
        </w:rPr>
        <w:t>two</w:t>
      </w:r>
      <w:r>
        <w:rPr>
          <w:rFonts w:ascii="Times New Roman" w:hAnsi="Times New Roman"/>
          <w:sz w:val="24"/>
          <w:szCs w:val="24"/>
        </w:rPr>
        <w:t xml:space="preserve"> fewer floors in the Jefferson Building while accommodating return to office plans.</w:t>
      </w:r>
    </w:p>
    <w:p w14:paraId="31758FD8" w14:textId="77777777" w:rsidR="00EC3123" w:rsidRDefault="00EC3123" w:rsidP="00F46923"/>
    <w:p w14:paraId="434D8D69" w14:textId="054C62FC" w:rsidR="00C14EC5" w:rsidRDefault="00C14EC5" w:rsidP="00C14EC5">
      <w:pPr>
        <w:pStyle w:val="NoSpacing"/>
        <w:rPr>
          <w:rFonts w:ascii="Times New Roman" w:hAnsi="Times New Roman"/>
          <w:b/>
          <w:i/>
          <w:sz w:val="26"/>
          <w:szCs w:val="26"/>
        </w:rPr>
      </w:pPr>
      <w:r>
        <w:rPr>
          <w:rFonts w:ascii="Times New Roman" w:hAnsi="Times New Roman"/>
          <w:b/>
          <w:i/>
          <w:sz w:val="26"/>
          <w:szCs w:val="26"/>
        </w:rPr>
        <w:t>Diversity Equity Inclusion (DEI)</w:t>
      </w:r>
    </w:p>
    <w:p w14:paraId="42F95566" w14:textId="47444718" w:rsidR="00EC3123" w:rsidRDefault="00EC3123" w:rsidP="00F46923">
      <w:pPr>
        <w:pStyle w:val="NormalWeb"/>
        <w:shd w:val="clear" w:color="auto" w:fill="FFFFFF"/>
        <w:spacing w:before="0" w:beforeAutospacing="0" w:after="0" w:afterAutospacing="0"/>
        <w:textAlignment w:val="baseline"/>
        <w:rPr>
          <w:color w:val="222222"/>
        </w:rPr>
      </w:pPr>
      <w:r>
        <w:rPr>
          <w:color w:val="222222"/>
        </w:rPr>
        <w:t xml:space="preserve">The DBHDS </w:t>
      </w:r>
      <w:r w:rsidR="00C14EC5">
        <w:rPr>
          <w:color w:val="222222"/>
        </w:rPr>
        <w:t xml:space="preserve">DEI </w:t>
      </w:r>
      <w:r>
        <w:rPr>
          <w:color w:val="222222"/>
        </w:rPr>
        <w:t>Office implemented multiple initiatives successfully, while operating with an unfunded budget in FY 2022.  Accomplishments include:</w:t>
      </w:r>
    </w:p>
    <w:p w14:paraId="724E035E" w14:textId="77777777" w:rsidR="00EC3123" w:rsidRPr="00E579C0" w:rsidRDefault="00EC3123" w:rsidP="009054AA">
      <w:pPr>
        <w:pStyle w:val="NormalWeb"/>
        <w:numPr>
          <w:ilvl w:val="0"/>
          <w:numId w:val="23"/>
        </w:numPr>
        <w:shd w:val="clear" w:color="auto" w:fill="FFFFFF"/>
        <w:spacing w:before="0" w:beforeAutospacing="0" w:after="0" w:afterAutospacing="0"/>
        <w:ind w:left="540"/>
        <w:textAlignment w:val="baseline"/>
        <w:rPr>
          <w:color w:val="222222"/>
        </w:rPr>
      </w:pPr>
      <w:r w:rsidRPr="00E579C0">
        <w:t xml:space="preserve">In December 2021, the first DBHDS DEI Strategic plan for FY 2021-2025 was approved as guidance for all DEI procedures, </w:t>
      </w:r>
      <w:proofErr w:type="gramStart"/>
      <w:r w:rsidRPr="00E579C0">
        <w:t>protocols</w:t>
      </w:r>
      <w:proofErr w:type="gramEnd"/>
      <w:r>
        <w:t xml:space="preserve"> and initiatives for the </w:t>
      </w:r>
      <w:r w:rsidRPr="00E579C0">
        <w:t xml:space="preserve">agency, in compliance </w:t>
      </w:r>
      <w:r w:rsidRPr="00E579C0">
        <w:lastRenderedPageBreak/>
        <w:t>with House Bill 1993 § 2.2-602.  Per this Code of Virginia, § 2.2-602 states “The heads of state agencies shall establish and maintain a comprehensive diversity, equity</w:t>
      </w:r>
      <w:r>
        <w:t xml:space="preserve">, and inclusion strategic plan.  </w:t>
      </w:r>
      <w:r w:rsidRPr="00E579C0">
        <w:t>The plan shall integrate the diversity, equity, and inclusion goals into the agency mission, operations, programs, and infrastructure to enhance equitable opportunities for the populations served by the agency and to foster an increasingly diverse, equitable, and inclusive workplace environment.” Strategic plan implementation began upon approval.</w:t>
      </w:r>
    </w:p>
    <w:p w14:paraId="0B0329B0" w14:textId="03D1BC02" w:rsidR="00C14EC5" w:rsidRDefault="00C14EC5" w:rsidP="009054AA">
      <w:pPr>
        <w:pStyle w:val="NoSpacing"/>
        <w:numPr>
          <w:ilvl w:val="0"/>
          <w:numId w:val="23"/>
        </w:numPr>
        <w:ind w:left="540"/>
        <w:rPr>
          <w:rFonts w:ascii="Times New Roman" w:hAnsi="Times New Roman"/>
          <w:sz w:val="24"/>
          <w:szCs w:val="24"/>
        </w:rPr>
      </w:pPr>
      <w:r w:rsidRPr="007424B5">
        <w:rPr>
          <w:rFonts w:ascii="Times New Roman" w:hAnsi="Times New Roman"/>
          <w:sz w:val="24"/>
          <w:szCs w:val="24"/>
        </w:rPr>
        <w:t xml:space="preserve">In partnership with Petersburg School District and the Claude Moore Scholars program, the VA Health Sciences Highway youth apprentice program, DBHDS DEI developed new workforce roles for the program launch in FY 2022.  The goal of creating Work-Based Learning Coordinators was to create a new career pathways exemplar role for existing staff seeking advancement opportunities, as well as enhance recruitment opportunities for those looking to with youth in behavioral healthcare career readiness.  Future potential funding will go to increasing this internal career ladder workforce program across all 12 state hospitals, to include certifications for staff and students.  </w:t>
      </w:r>
    </w:p>
    <w:p w14:paraId="35E41AC5" w14:textId="62F2B8C0" w:rsidR="00EC3123" w:rsidRPr="00C444FF" w:rsidRDefault="00C14EC5" w:rsidP="009054AA">
      <w:pPr>
        <w:pStyle w:val="NormalWeb"/>
        <w:numPr>
          <w:ilvl w:val="0"/>
          <w:numId w:val="23"/>
        </w:numPr>
        <w:shd w:val="clear" w:color="auto" w:fill="FFFFFF"/>
        <w:spacing w:before="0" w:beforeAutospacing="0" w:after="0" w:afterAutospacing="0"/>
        <w:ind w:left="540"/>
        <w:textAlignment w:val="baseline"/>
        <w:rPr>
          <w:color w:val="222222"/>
        </w:rPr>
      </w:pPr>
      <w:r>
        <w:t>P</w:t>
      </w:r>
      <w:r w:rsidR="00EC3123" w:rsidRPr="00E579C0">
        <w:t>artnered with the Human Rights Campaign Foundation (HRCF), as part of a cohort of nationwide organizational leaders</w:t>
      </w:r>
      <w:r w:rsidR="00EC3123">
        <w:t>,</w:t>
      </w:r>
      <w:r w:rsidR="00EC3123" w:rsidRPr="00E579C0">
        <w:t xml:space="preserve"> </w:t>
      </w:r>
      <w:r w:rsidR="00EC3123">
        <w:t>collaborated on an equality index examining</w:t>
      </w:r>
      <w:r w:rsidR="00EC3123" w:rsidRPr="00E579C0">
        <w:t xml:space="preserve"> on-boarding</w:t>
      </w:r>
      <w:r w:rsidR="00EC3123">
        <w:t xml:space="preserve"> and workforce</w:t>
      </w:r>
      <w:r w:rsidR="00EC3123" w:rsidRPr="00E579C0">
        <w:t xml:space="preserve"> policies for the </w:t>
      </w:r>
      <w:r>
        <w:t xml:space="preserve">200,000 Virginians in the </w:t>
      </w:r>
      <w:r w:rsidR="00EC3123" w:rsidRPr="00E579C0">
        <w:t xml:space="preserve">LGBTQ+ community.  This group convened as part of a pilot program, to support and co-create the development of an LGBTQ+ organizational assessment originated by the HRCF. </w:t>
      </w:r>
    </w:p>
    <w:p w14:paraId="0AE3C785" w14:textId="68CE20D1" w:rsidR="00EC3123" w:rsidRPr="00C3197E" w:rsidRDefault="00C14EC5" w:rsidP="009054AA">
      <w:pPr>
        <w:pStyle w:val="NormalWeb"/>
        <w:numPr>
          <w:ilvl w:val="0"/>
          <w:numId w:val="23"/>
        </w:numPr>
        <w:shd w:val="clear" w:color="auto" w:fill="FFFFFF"/>
        <w:spacing w:before="0" w:beforeAutospacing="0" w:after="0" w:afterAutospacing="0"/>
        <w:ind w:left="540"/>
        <w:textAlignment w:val="baseline"/>
        <w:rPr>
          <w:color w:val="222222"/>
        </w:rPr>
      </w:pPr>
      <w:r>
        <w:t>P</w:t>
      </w:r>
      <w:r w:rsidR="00EC3123" w:rsidRPr="00C444FF">
        <w:t xml:space="preserve">artnered with Virginia Commonwealth University’s (VCU) Metropolitan Educational Research Consortium (MERC) to complete the agency equity review, a three-phase, multi-method analysis, open to all workforce members for participation (5,500+ participants). The study collected data, for the purpose of creating evidence-based logic models </w:t>
      </w:r>
      <w:r w:rsidR="00EC3123">
        <w:t>to</w:t>
      </w:r>
      <w:r w:rsidR="00EC3123" w:rsidRPr="00C444FF">
        <w:t xml:space="preserve"> advance equitable workforce development policies, implement strategies for addressing the needs of a diverse workforce, such as pay equity, representative leadership, inclusive policies, as well as enhancing public service delivery for the economically disinvested and historically marginalized communities served by DBHDS.</w:t>
      </w:r>
    </w:p>
    <w:p w14:paraId="342A4917" w14:textId="54DF7A3D" w:rsidR="00EC3123" w:rsidRDefault="00F40967" w:rsidP="00F46923">
      <w:r>
        <w:br/>
      </w:r>
    </w:p>
    <w:p w14:paraId="1F0143D9" w14:textId="1E9C1E7B" w:rsidR="00600517" w:rsidRPr="00697B62" w:rsidRDefault="00600517" w:rsidP="00F46923">
      <w:pPr>
        <w:pStyle w:val="paragraph"/>
        <w:spacing w:before="0" w:beforeAutospacing="0" w:after="0" w:afterAutospacing="0"/>
        <w:textAlignment w:val="baseline"/>
        <w:rPr>
          <w:sz w:val="36"/>
          <w:szCs w:val="36"/>
        </w:rPr>
      </w:pPr>
      <w:bookmarkStart w:id="6" w:name="Chief_Clinical_Officer"/>
      <w:r w:rsidRPr="00697B62">
        <w:rPr>
          <w:rStyle w:val="normaltextrun"/>
          <w:b/>
          <w:bCs/>
          <w:sz w:val="36"/>
          <w:szCs w:val="36"/>
        </w:rPr>
        <w:t xml:space="preserve">Clinical </w:t>
      </w:r>
      <w:r w:rsidR="00974FB5">
        <w:rPr>
          <w:rStyle w:val="normaltextrun"/>
          <w:b/>
          <w:bCs/>
          <w:sz w:val="36"/>
          <w:szCs w:val="36"/>
        </w:rPr>
        <w:t>Services</w:t>
      </w:r>
    </w:p>
    <w:bookmarkEnd w:id="6"/>
    <w:p w14:paraId="0F0CCA72" w14:textId="5E2B2764" w:rsidR="00427D5D" w:rsidRPr="00FF7398" w:rsidRDefault="00F32459" w:rsidP="00F46923">
      <w:r>
        <w:br/>
      </w:r>
      <w:r w:rsidR="00427D5D" w:rsidRPr="00FF7398">
        <w:t xml:space="preserve">The Division of the Chief Clinical Officer provides cross disability clinical and technical expertise and support across all program areas of the agency to aid in leading system-wide transformation and enhance cross disability collaboration. The aim of the division is to support the agency in ensuring that all individuals receive high quality care and integrates evidence, best practices, and data to drive decision making and inform mental health policy and implement system change. </w:t>
      </w:r>
    </w:p>
    <w:p w14:paraId="58C63F89" w14:textId="77777777" w:rsidR="00427D5D" w:rsidRPr="00FF7398" w:rsidRDefault="00427D5D" w:rsidP="00F46923">
      <w:pPr>
        <w:rPr>
          <w:b/>
          <w:i/>
        </w:rPr>
      </w:pPr>
    </w:p>
    <w:p w14:paraId="48803EEA" w14:textId="77777777" w:rsidR="00427D5D" w:rsidRPr="00F4298E" w:rsidRDefault="00427D5D" w:rsidP="00B85C6C">
      <w:pPr>
        <w:rPr>
          <w:i/>
          <w:iCs/>
          <w:sz w:val="26"/>
          <w:szCs w:val="26"/>
        </w:rPr>
      </w:pPr>
      <w:r w:rsidRPr="00F4298E">
        <w:rPr>
          <w:b/>
          <w:i/>
          <w:iCs/>
          <w:sz w:val="26"/>
          <w:szCs w:val="26"/>
        </w:rPr>
        <w:t>Response to the COVID-19 Pandemic</w:t>
      </w:r>
      <w:r w:rsidRPr="00F4298E">
        <w:rPr>
          <w:i/>
          <w:iCs/>
          <w:sz w:val="26"/>
          <w:szCs w:val="26"/>
        </w:rPr>
        <w:t xml:space="preserve"> </w:t>
      </w:r>
    </w:p>
    <w:p w14:paraId="08D706B0" w14:textId="3C5941F6" w:rsidR="00427D5D" w:rsidRPr="00CD4C5B" w:rsidRDefault="00427D5D" w:rsidP="00F32459">
      <w:r w:rsidRPr="00FF7398">
        <w:t>Since the start of the COVID-19 pandemic</w:t>
      </w:r>
      <w:r w:rsidR="00697B62">
        <w:t xml:space="preserve">, </w:t>
      </w:r>
      <w:r w:rsidRPr="00FF7398">
        <w:t xml:space="preserve">DBHDS mobilized resources across the agency to respond to the COVID-19 pandemic including attending to the health and safety needs of DBHDS staff, individuals in the care of DBHDS at the state facilities or through DBHDS licensed providers, attention to supporting behavioral health of the population of the Commonwealth, and operationalizing changes necessary due to impacts of COVID-19.  </w:t>
      </w:r>
    </w:p>
    <w:p w14:paraId="71A4172F" w14:textId="77777777" w:rsidR="00427D5D" w:rsidRPr="00FF7398" w:rsidRDefault="00427D5D" w:rsidP="00F46923"/>
    <w:p w14:paraId="3F1A4F20" w14:textId="6A402817" w:rsidR="00427D5D" w:rsidRPr="00F4298E" w:rsidRDefault="00427D5D" w:rsidP="00F46923">
      <w:pPr>
        <w:rPr>
          <w:b/>
          <w:i/>
          <w:iCs/>
          <w:sz w:val="26"/>
          <w:szCs w:val="26"/>
        </w:rPr>
      </w:pPr>
      <w:r w:rsidRPr="00F4298E">
        <w:rPr>
          <w:b/>
          <w:i/>
          <w:iCs/>
          <w:sz w:val="26"/>
          <w:szCs w:val="26"/>
        </w:rPr>
        <w:lastRenderedPageBreak/>
        <w:t xml:space="preserve">Project Behavioral </w:t>
      </w:r>
      <w:r w:rsidR="00B85C6C" w:rsidRPr="00F4298E">
        <w:rPr>
          <w:b/>
          <w:i/>
          <w:iCs/>
          <w:sz w:val="26"/>
          <w:szCs w:val="26"/>
        </w:rPr>
        <w:t>H</w:t>
      </w:r>
      <w:r w:rsidRPr="00F4298E">
        <w:rPr>
          <w:b/>
          <w:i/>
          <w:iCs/>
          <w:sz w:val="26"/>
          <w:szCs w:val="26"/>
        </w:rPr>
        <w:t>ealth Redesign for Access, Value, and Outcomes (formerly Medicaid Behavioral Health Enhancement)</w:t>
      </w:r>
    </w:p>
    <w:p w14:paraId="6F5A4B93" w14:textId="680BEEDC" w:rsidR="00427D5D" w:rsidRPr="00B85C6C" w:rsidRDefault="00B85C6C" w:rsidP="00B85C6C">
      <w:r>
        <w:t xml:space="preserve">This effort is a partnership by DBHDS and the Department of Medical Assistance Services. </w:t>
      </w:r>
      <w:r w:rsidR="00427D5D" w:rsidRPr="00B85C6C">
        <w:t xml:space="preserve">These services </w:t>
      </w:r>
      <w:r>
        <w:t xml:space="preserve">are </w:t>
      </w:r>
      <w:r w:rsidR="00427D5D" w:rsidRPr="00B85C6C">
        <w:t>critical in the overall system of care and aid in addressing the critical need to step-down or divert individuals from acute inpatient psychiatric hospitalization, including those placed in state mental health institutions.</w:t>
      </w:r>
    </w:p>
    <w:p w14:paraId="432072CB" w14:textId="77777777" w:rsidR="00B85C6C" w:rsidRDefault="00B85C6C" w:rsidP="009054AA">
      <w:pPr>
        <w:pStyle w:val="ListParagraph"/>
        <w:numPr>
          <w:ilvl w:val="1"/>
          <w:numId w:val="46"/>
        </w:numPr>
        <w:spacing w:line="240" w:lineRule="auto"/>
        <w:ind w:left="540"/>
        <w:rPr>
          <w:rFonts w:ascii="Times New Roman" w:hAnsi="Times New Roman"/>
          <w:sz w:val="24"/>
          <w:szCs w:val="24"/>
        </w:rPr>
      </w:pPr>
      <w:r>
        <w:rPr>
          <w:rFonts w:ascii="Times New Roman" w:hAnsi="Times New Roman"/>
          <w:sz w:val="24"/>
          <w:szCs w:val="24"/>
        </w:rPr>
        <w:t xml:space="preserve">During FY 2022, the following services were implemented: </w:t>
      </w:r>
    </w:p>
    <w:p w14:paraId="53DBED6C" w14:textId="77777777" w:rsidR="00B85C6C" w:rsidRPr="00B85C6C" w:rsidRDefault="00427D5D" w:rsidP="009054AA">
      <w:pPr>
        <w:pStyle w:val="ListParagraph"/>
        <w:numPr>
          <w:ilvl w:val="2"/>
          <w:numId w:val="46"/>
        </w:numPr>
        <w:spacing w:line="240" w:lineRule="auto"/>
        <w:ind w:left="1080"/>
        <w:rPr>
          <w:rFonts w:ascii="Times New Roman" w:hAnsi="Times New Roman"/>
          <w:sz w:val="24"/>
          <w:szCs w:val="24"/>
        </w:rPr>
      </w:pPr>
      <w:r w:rsidRPr="00B85C6C">
        <w:rPr>
          <w:rFonts w:ascii="Times New Roman" w:hAnsi="Times New Roman"/>
          <w:sz w:val="24"/>
          <w:szCs w:val="24"/>
        </w:rPr>
        <w:t>July 1, 2021</w:t>
      </w:r>
      <w:r w:rsidR="00B85C6C" w:rsidRPr="00B85C6C">
        <w:rPr>
          <w:rFonts w:ascii="Times New Roman" w:hAnsi="Times New Roman"/>
          <w:sz w:val="24"/>
          <w:szCs w:val="24"/>
        </w:rPr>
        <w:t xml:space="preserve"> – </w:t>
      </w:r>
      <w:r w:rsidRPr="00B85C6C">
        <w:rPr>
          <w:rFonts w:ascii="Times New Roman" w:hAnsi="Times New Roman"/>
          <w:sz w:val="24"/>
          <w:szCs w:val="24"/>
        </w:rPr>
        <w:t>Assertive Community Treatment (ACT), Partial Hospitalization Programs (PHP), Intensive Outpatient Programs (IOP).</w:t>
      </w:r>
    </w:p>
    <w:p w14:paraId="338DB844" w14:textId="3063748A" w:rsidR="00427D5D" w:rsidRPr="00B85C6C" w:rsidRDefault="00427D5D" w:rsidP="009054AA">
      <w:pPr>
        <w:pStyle w:val="ListParagraph"/>
        <w:numPr>
          <w:ilvl w:val="2"/>
          <w:numId w:val="46"/>
        </w:numPr>
        <w:spacing w:line="240" w:lineRule="auto"/>
        <w:ind w:left="1080"/>
        <w:rPr>
          <w:rFonts w:ascii="Times New Roman" w:hAnsi="Times New Roman"/>
          <w:sz w:val="24"/>
          <w:szCs w:val="24"/>
        </w:rPr>
      </w:pPr>
      <w:r w:rsidRPr="00B85C6C">
        <w:rPr>
          <w:rFonts w:ascii="Times New Roman" w:hAnsi="Times New Roman"/>
          <w:sz w:val="24"/>
          <w:szCs w:val="24"/>
        </w:rPr>
        <w:t>December 1, 2021</w:t>
      </w:r>
      <w:r w:rsidR="00B85C6C" w:rsidRPr="00B85C6C">
        <w:rPr>
          <w:rFonts w:ascii="Times New Roman" w:hAnsi="Times New Roman"/>
          <w:sz w:val="24"/>
          <w:szCs w:val="24"/>
        </w:rPr>
        <w:t xml:space="preserve"> – Mult</w:t>
      </w:r>
      <w:r w:rsidRPr="00B85C6C">
        <w:rPr>
          <w:rFonts w:ascii="Times New Roman" w:hAnsi="Times New Roman"/>
          <w:sz w:val="24"/>
          <w:szCs w:val="24"/>
        </w:rPr>
        <w:t xml:space="preserve">isystemic Therapy (MST), Functional Family Therapy (FFT) Residential Crisis Stabilization Units, 23-hour Crisis Observation, Mobile Crisis, and Community Based Crisis Stabilization.  </w:t>
      </w:r>
    </w:p>
    <w:p w14:paraId="5EE2CADD" w14:textId="40958F38" w:rsidR="00427D5D" w:rsidRPr="00B85C6C" w:rsidRDefault="00427D5D" w:rsidP="009054AA">
      <w:pPr>
        <w:pStyle w:val="ListParagraph"/>
        <w:numPr>
          <w:ilvl w:val="1"/>
          <w:numId w:val="46"/>
        </w:numPr>
        <w:spacing w:line="240" w:lineRule="auto"/>
        <w:ind w:left="540"/>
        <w:rPr>
          <w:rFonts w:ascii="Times New Roman" w:hAnsi="Times New Roman"/>
          <w:sz w:val="24"/>
          <w:szCs w:val="24"/>
        </w:rPr>
      </w:pPr>
      <w:r w:rsidRPr="00B85C6C">
        <w:rPr>
          <w:rFonts w:ascii="Times New Roman" w:hAnsi="Times New Roman"/>
          <w:sz w:val="24"/>
          <w:szCs w:val="24"/>
        </w:rPr>
        <w:t>Collaborated with DMAS, MCOs, DHP and various DBHDS Offices to conduct provider and stakeholder trainings on new services related to licensing and program development</w:t>
      </w:r>
    </w:p>
    <w:p w14:paraId="3D8D6909" w14:textId="6B3EBB63" w:rsidR="00427D5D" w:rsidRPr="00B85C6C" w:rsidRDefault="00427D5D" w:rsidP="009054AA">
      <w:pPr>
        <w:pStyle w:val="ListParagraph"/>
        <w:numPr>
          <w:ilvl w:val="1"/>
          <w:numId w:val="46"/>
        </w:numPr>
        <w:spacing w:line="240" w:lineRule="auto"/>
        <w:ind w:left="540"/>
        <w:rPr>
          <w:rFonts w:ascii="Times New Roman" w:hAnsi="Times New Roman"/>
          <w:sz w:val="24"/>
          <w:szCs w:val="24"/>
        </w:rPr>
      </w:pPr>
      <w:r w:rsidRPr="00B85C6C">
        <w:rPr>
          <w:rFonts w:ascii="Times New Roman" w:hAnsi="Times New Roman"/>
          <w:sz w:val="24"/>
          <w:szCs w:val="24"/>
        </w:rPr>
        <w:t>In collaboration with DMAS, established the Racial Equity Workgroup to prioritize the need for addressing disparities in access, quality, and cultural and racial competencies in the implementation of Project BRAVO</w:t>
      </w:r>
      <w:r w:rsidR="00B85C6C">
        <w:rPr>
          <w:rFonts w:ascii="Times New Roman" w:hAnsi="Times New Roman"/>
          <w:sz w:val="24"/>
          <w:szCs w:val="24"/>
        </w:rPr>
        <w:t>.</w:t>
      </w:r>
    </w:p>
    <w:p w14:paraId="7503558F" w14:textId="60A7C7A3" w:rsidR="00427D5D" w:rsidRPr="00FF7398" w:rsidRDefault="00427D5D" w:rsidP="009054AA">
      <w:pPr>
        <w:pStyle w:val="ListParagraph"/>
        <w:numPr>
          <w:ilvl w:val="1"/>
          <w:numId w:val="46"/>
        </w:numPr>
        <w:spacing w:line="240" w:lineRule="auto"/>
        <w:ind w:left="540"/>
        <w:rPr>
          <w:rFonts w:ascii="Times New Roman" w:hAnsi="Times New Roman"/>
          <w:sz w:val="24"/>
          <w:szCs w:val="24"/>
        </w:rPr>
      </w:pPr>
      <w:r w:rsidRPr="00B85C6C">
        <w:rPr>
          <w:rFonts w:ascii="Times New Roman" w:hAnsi="Times New Roman"/>
          <w:sz w:val="24"/>
          <w:szCs w:val="24"/>
        </w:rPr>
        <w:t>In collaboration with DMAS, CSA, DSS, and DJJ, established the Center for Evidence Based Practices with Virginia</w:t>
      </w:r>
      <w:r w:rsidRPr="00FF7398">
        <w:rPr>
          <w:rFonts w:ascii="Times New Roman" w:hAnsi="Times New Roman"/>
          <w:sz w:val="24"/>
          <w:szCs w:val="24"/>
        </w:rPr>
        <w:t xml:space="preserve"> Commonwealth University, which aims to serve as single statewide resource for developing the behavioral health workforce in supporting the use and accessibility for </w:t>
      </w:r>
      <w:proofErr w:type="gramStart"/>
      <w:r w:rsidRPr="00FF7398">
        <w:rPr>
          <w:rFonts w:ascii="Times New Roman" w:hAnsi="Times New Roman"/>
          <w:sz w:val="24"/>
          <w:szCs w:val="24"/>
        </w:rPr>
        <w:t>evidence based</w:t>
      </w:r>
      <w:proofErr w:type="gramEnd"/>
      <w:r w:rsidRPr="00FF7398">
        <w:rPr>
          <w:rFonts w:ascii="Times New Roman" w:hAnsi="Times New Roman"/>
          <w:sz w:val="24"/>
          <w:szCs w:val="24"/>
        </w:rPr>
        <w:t xml:space="preserve"> practices in the provision of services within Project BRAVO, STEP-VA, and the Family First Prevention Services Act</w:t>
      </w:r>
      <w:r w:rsidR="00B85C6C">
        <w:rPr>
          <w:rFonts w:ascii="Times New Roman" w:hAnsi="Times New Roman"/>
          <w:sz w:val="24"/>
          <w:szCs w:val="24"/>
        </w:rPr>
        <w:t>.</w:t>
      </w:r>
    </w:p>
    <w:p w14:paraId="0909969D" w14:textId="77777777" w:rsidR="00427D5D" w:rsidRPr="00F4298E" w:rsidRDefault="00427D5D" w:rsidP="00F46923">
      <w:pPr>
        <w:pStyle w:val="Heading1"/>
        <w:rPr>
          <w:rFonts w:ascii="Times New Roman" w:hAnsi="Times New Roman"/>
          <w:b/>
          <w:iCs w:val="0"/>
          <w:sz w:val="26"/>
          <w:szCs w:val="26"/>
        </w:rPr>
      </w:pPr>
      <w:r w:rsidRPr="00CD4C5B">
        <w:rPr>
          <w:rFonts w:ascii="Times New Roman" w:hAnsi="Times New Roman"/>
          <w:b/>
          <w:i w:val="0"/>
          <w:sz w:val="24"/>
        </w:rPr>
        <w:br/>
      </w:r>
      <w:r w:rsidRPr="00F4298E">
        <w:rPr>
          <w:rFonts w:ascii="Times New Roman" w:hAnsi="Times New Roman"/>
          <w:b/>
          <w:iCs w:val="0"/>
          <w:sz w:val="26"/>
          <w:szCs w:val="26"/>
        </w:rPr>
        <w:t>Clinical Quality Management and Community Quality Improvement</w:t>
      </w:r>
    </w:p>
    <w:p w14:paraId="4FE3C2DA" w14:textId="77777777" w:rsidR="00427D5D" w:rsidRPr="00FF7398" w:rsidRDefault="00427D5D" w:rsidP="009054AA">
      <w:pPr>
        <w:pStyle w:val="ListParagraph"/>
        <w:numPr>
          <w:ilvl w:val="0"/>
          <w:numId w:val="8"/>
        </w:numPr>
        <w:spacing w:after="160" w:line="240" w:lineRule="auto"/>
        <w:ind w:left="540"/>
        <w:jc w:val="both"/>
        <w:rPr>
          <w:rFonts w:ascii="Times New Roman" w:hAnsi="Times New Roman"/>
          <w:sz w:val="24"/>
          <w:szCs w:val="24"/>
        </w:rPr>
      </w:pPr>
      <w:r w:rsidRPr="00FF7398">
        <w:rPr>
          <w:rFonts w:ascii="Times New Roman" w:hAnsi="Times New Roman"/>
          <w:sz w:val="24"/>
          <w:szCs w:val="24"/>
        </w:rPr>
        <w:t>Quality Management System Improvements</w:t>
      </w:r>
    </w:p>
    <w:p w14:paraId="6FB6F96A" w14:textId="2F5DF052" w:rsidR="00427D5D" w:rsidRPr="00FF7398" w:rsidRDefault="00427D5D" w:rsidP="009054AA">
      <w:pPr>
        <w:pStyle w:val="ListParagraph"/>
        <w:numPr>
          <w:ilvl w:val="1"/>
          <w:numId w:val="47"/>
        </w:numPr>
        <w:spacing w:after="160" w:line="240" w:lineRule="auto"/>
        <w:ind w:left="1080"/>
        <w:rPr>
          <w:rFonts w:ascii="Times New Roman" w:hAnsi="Times New Roman"/>
          <w:sz w:val="24"/>
          <w:szCs w:val="24"/>
        </w:rPr>
      </w:pPr>
      <w:r w:rsidRPr="00FF7398">
        <w:rPr>
          <w:rFonts w:ascii="Times New Roman" w:hAnsi="Times New Roman"/>
          <w:sz w:val="24"/>
          <w:szCs w:val="24"/>
        </w:rPr>
        <w:t>Revised the CSB data request process, requiring DBHDS central office and CSB collaboration prior to filling new CSB data requests (issued from DBHDS) aiding in streamlining data requests made of CSBs</w:t>
      </w:r>
      <w:r w:rsidR="000018F3">
        <w:rPr>
          <w:rFonts w:ascii="Times New Roman" w:hAnsi="Times New Roman"/>
          <w:sz w:val="24"/>
          <w:szCs w:val="24"/>
        </w:rPr>
        <w:t>.</w:t>
      </w:r>
    </w:p>
    <w:p w14:paraId="598B37A4" w14:textId="632ED02A" w:rsidR="00427D5D" w:rsidRPr="00FF7398" w:rsidRDefault="00427D5D" w:rsidP="009054AA">
      <w:pPr>
        <w:pStyle w:val="ListParagraph"/>
        <w:numPr>
          <w:ilvl w:val="1"/>
          <w:numId w:val="47"/>
        </w:numPr>
        <w:spacing w:after="160" w:line="240" w:lineRule="auto"/>
        <w:ind w:left="1080"/>
        <w:rPr>
          <w:rFonts w:ascii="Times New Roman" w:hAnsi="Times New Roman"/>
          <w:sz w:val="24"/>
          <w:szCs w:val="24"/>
        </w:rPr>
      </w:pPr>
      <w:r w:rsidRPr="00FF7398">
        <w:rPr>
          <w:rFonts w:ascii="Times New Roman" w:hAnsi="Times New Roman"/>
          <w:sz w:val="24"/>
          <w:szCs w:val="24"/>
        </w:rPr>
        <w:t>Developed and provided trainin</w:t>
      </w:r>
      <w:r w:rsidR="000018F3">
        <w:rPr>
          <w:rFonts w:ascii="Times New Roman" w:hAnsi="Times New Roman"/>
          <w:sz w:val="24"/>
          <w:szCs w:val="24"/>
        </w:rPr>
        <w:t>g</w:t>
      </w:r>
      <w:r w:rsidRPr="00FF7398">
        <w:rPr>
          <w:rFonts w:ascii="Times New Roman" w:hAnsi="Times New Roman"/>
          <w:sz w:val="24"/>
          <w:szCs w:val="24"/>
        </w:rPr>
        <w:t xml:space="preserve"> to DBHDS </w:t>
      </w:r>
      <w:r w:rsidR="000018F3">
        <w:rPr>
          <w:rFonts w:ascii="Times New Roman" w:hAnsi="Times New Roman"/>
          <w:sz w:val="24"/>
          <w:szCs w:val="24"/>
        </w:rPr>
        <w:t>staff</w:t>
      </w:r>
      <w:r w:rsidRPr="00FF7398">
        <w:rPr>
          <w:rFonts w:ascii="Times New Roman" w:hAnsi="Times New Roman"/>
          <w:sz w:val="24"/>
          <w:szCs w:val="24"/>
        </w:rPr>
        <w:t xml:space="preserve"> in QI tools, </w:t>
      </w:r>
      <w:proofErr w:type="gramStart"/>
      <w:r w:rsidRPr="00FF7398">
        <w:rPr>
          <w:rFonts w:ascii="Times New Roman" w:hAnsi="Times New Roman"/>
          <w:sz w:val="24"/>
          <w:szCs w:val="24"/>
        </w:rPr>
        <w:t>practices</w:t>
      </w:r>
      <w:proofErr w:type="gramEnd"/>
      <w:r w:rsidRPr="00FF7398">
        <w:rPr>
          <w:rFonts w:ascii="Times New Roman" w:hAnsi="Times New Roman"/>
          <w:sz w:val="24"/>
          <w:szCs w:val="24"/>
        </w:rPr>
        <w:t xml:space="preserve"> and principles.</w:t>
      </w:r>
    </w:p>
    <w:p w14:paraId="25119F71" w14:textId="064E792A" w:rsidR="00427D5D" w:rsidRPr="00FF7398" w:rsidRDefault="00427D5D" w:rsidP="009054AA">
      <w:pPr>
        <w:pStyle w:val="ListParagraph"/>
        <w:numPr>
          <w:ilvl w:val="1"/>
          <w:numId w:val="47"/>
        </w:numPr>
        <w:spacing w:after="160" w:line="240" w:lineRule="auto"/>
        <w:ind w:left="1080"/>
        <w:rPr>
          <w:rStyle w:val="normaltextrun"/>
          <w:rFonts w:ascii="Times New Roman" w:hAnsi="Times New Roman"/>
          <w:sz w:val="24"/>
          <w:szCs w:val="24"/>
        </w:rPr>
      </w:pPr>
      <w:r w:rsidRPr="00FF7398">
        <w:rPr>
          <w:rFonts w:ascii="Times New Roman" w:hAnsi="Times New Roman"/>
          <w:sz w:val="24"/>
          <w:szCs w:val="24"/>
        </w:rPr>
        <w:t>Developed a reporting schedule to ensure the regular surveillance of data that examines how well the developmental services system is ensuring individual safety and freedom from harm</w:t>
      </w:r>
      <w:r w:rsidR="000018F3">
        <w:rPr>
          <w:rFonts w:ascii="Times New Roman" w:hAnsi="Times New Roman"/>
          <w:sz w:val="24"/>
          <w:szCs w:val="24"/>
        </w:rPr>
        <w:t xml:space="preserve"> and other outcomes.</w:t>
      </w:r>
    </w:p>
    <w:p w14:paraId="301E7543" w14:textId="77777777" w:rsidR="00427D5D" w:rsidRPr="00FF7398" w:rsidRDefault="00427D5D" w:rsidP="009054AA">
      <w:pPr>
        <w:pStyle w:val="ListParagraph"/>
        <w:numPr>
          <w:ilvl w:val="0"/>
          <w:numId w:val="8"/>
        </w:numPr>
        <w:spacing w:line="240" w:lineRule="auto"/>
        <w:ind w:left="540"/>
        <w:rPr>
          <w:rStyle w:val="normaltextrun"/>
          <w:rFonts w:ascii="Times New Roman" w:hAnsi="Times New Roman"/>
          <w:sz w:val="24"/>
          <w:szCs w:val="24"/>
        </w:rPr>
      </w:pPr>
      <w:r w:rsidRPr="00FF7398">
        <w:rPr>
          <w:rStyle w:val="normaltextrun"/>
          <w:rFonts w:ascii="Times New Roman" w:hAnsi="Times New Roman"/>
          <w:sz w:val="24"/>
          <w:szCs w:val="24"/>
        </w:rPr>
        <w:t>Developmental Disabilities (DD) Quality Management System</w:t>
      </w:r>
    </w:p>
    <w:p w14:paraId="55C061F1" w14:textId="77777777" w:rsidR="0064090E" w:rsidRPr="00FF7398" w:rsidRDefault="0064090E" w:rsidP="009054AA">
      <w:pPr>
        <w:pStyle w:val="ListParagraph"/>
        <w:numPr>
          <w:ilvl w:val="0"/>
          <w:numId w:val="49"/>
        </w:numPr>
        <w:spacing w:line="240" w:lineRule="auto"/>
        <w:ind w:left="1080"/>
        <w:rPr>
          <w:rStyle w:val="normaltextrun"/>
          <w:rFonts w:ascii="Times New Roman" w:hAnsi="Times New Roman"/>
          <w:sz w:val="24"/>
          <w:szCs w:val="24"/>
        </w:rPr>
      </w:pPr>
      <w:r w:rsidRPr="00FF7398">
        <w:rPr>
          <w:rStyle w:val="normaltextrun"/>
          <w:rFonts w:ascii="Times New Roman" w:hAnsi="Times New Roman"/>
          <w:sz w:val="24"/>
          <w:szCs w:val="24"/>
        </w:rPr>
        <w:t xml:space="preserve">Developed, established, and implemented a formal consultation and technical assistance program (piloted with DBHDS licensed service providers) designed to establish an effective and efficient process for providing technical assistance and consultation. The objective of the project was to introduce and demonstrate Quality Improvement (QI) </w:t>
      </w:r>
      <w:r>
        <w:rPr>
          <w:rStyle w:val="normaltextrun"/>
          <w:rFonts w:ascii="Times New Roman" w:hAnsi="Times New Roman"/>
          <w:sz w:val="24"/>
          <w:szCs w:val="24"/>
        </w:rPr>
        <w:t>t</w:t>
      </w:r>
      <w:r w:rsidRPr="00FF7398">
        <w:rPr>
          <w:rStyle w:val="normaltextrun"/>
          <w:rFonts w:ascii="Times New Roman" w:hAnsi="Times New Roman"/>
          <w:sz w:val="24"/>
          <w:szCs w:val="24"/>
        </w:rPr>
        <w:t>ools and concepts to providers that they could implement to help them move towards compliance with licensing regulation 12VAC35-105-620 C.2.</w:t>
      </w:r>
    </w:p>
    <w:p w14:paraId="3CF579D1" w14:textId="6E4E88A2" w:rsidR="00427D5D" w:rsidRPr="00FF7398" w:rsidRDefault="0064090E" w:rsidP="009054AA">
      <w:pPr>
        <w:pStyle w:val="ListParagraph"/>
        <w:numPr>
          <w:ilvl w:val="0"/>
          <w:numId w:val="49"/>
        </w:numPr>
        <w:spacing w:line="240" w:lineRule="auto"/>
        <w:ind w:left="1080"/>
        <w:rPr>
          <w:rStyle w:val="normaltextrun"/>
          <w:rFonts w:ascii="Times New Roman" w:hAnsi="Times New Roman"/>
          <w:sz w:val="24"/>
          <w:szCs w:val="24"/>
        </w:rPr>
      </w:pPr>
      <w:r>
        <w:rPr>
          <w:rStyle w:val="normaltextrun"/>
          <w:rFonts w:ascii="Times New Roman" w:hAnsi="Times New Roman"/>
          <w:sz w:val="24"/>
          <w:szCs w:val="24"/>
        </w:rPr>
        <w:t>D</w:t>
      </w:r>
      <w:r w:rsidR="00427D5D" w:rsidRPr="00FF7398">
        <w:rPr>
          <w:rStyle w:val="normaltextrun"/>
          <w:rFonts w:ascii="Times New Roman" w:hAnsi="Times New Roman"/>
          <w:sz w:val="24"/>
          <w:szCs w:val="24"/>
        </w:rPr>
        <w:t xml:space="preserve">eveloped and implemented over 20 statewide and regional </w:t>
      </w:r>
      <w:r>
        <w:rPr>
          <w:rStyle w:val="normaltextrun"/>
          <w:rFonts w:ascii="Times New Roman" w:hAnsi="Times New Roman"/>
          <w:sz w:val="24"/>
          <w:szCs w:val="24"/>
        </w:rPr>
        <w:t>quality improvement initiatives</w:t>
      </w:r>
      <w:r w:rsidR="00427D5D" w:rsidRPr="00FF7398">
        <w:rPr>
          <w:rStyle w:val="normaltextrun"/>
          <w:rFonts w:ascii="Times New Roman" w:hAnsi="Times New Roman"/>
          <w:sz w:val="24"/>
          <w:szCs w:val="24"/>
        </w:rPr>
        <w:t>.</w:t>
      </w:r>
    </w:p>
    <w:p w14:paraId="68B3F956" w14:textId="77777777" w:rsidR="00427D5D" w:rsidRPr="00FF7398" w:rsidRDefault="00427D5D" w:rsidP="009054AA">
      <w:pPr>
        <w:pStyle w:val="ListParagraph"/>
        <w:numPr>
          <w:ilvl w:val="0"/>
          <w:numId w:val="49"/>
        </w:numPr>
        <w:spacing w:line="240" w:lineRule="auto"/>
        <w:ind w:left="1080"/>
        <w:rPr>
          <w:rStyle w:val="normaltextrun"/>
          <w:rFonts w:ascii="Times New Roman" w:hAnsi="Times New Roman"/>
          <w:sz w:val="24"/>
          <w:szCs w:val="24"/>
        </w:rPr>
      </w:pPr>
      <w:r w:rsidRPr="00FF7398">
        <w:rPr>
          <w:rStyle w:val="normaltextrun"/>
          <w:rFonts w:ascii="Times New Roman" w:hAnsi="Times New Roman"/>
          <w:sz w:val="24"/>
          <w:szCs w:val="24"/>
        </w:rPr>
        <w:t xml:space="preserve">Tracked and analyzed data for over 30 performance measure indicators designed to measure health, safety, well-being and community inclusion and integration of </w:t>
      </w:r>
      <w:r w:rsidRPr="00FF7398">
        <w:rPr>
          <w:rStyle w:val="normaltextrun"/>
          <w:rFonts w:ascii="Times New Roman" w:hAnsi="Times New Roman"/>
          <w:sz w:val="24"/>
          <w:szCs w:val="24"/>
        </w:rPr>
        <w:lastRenderedPageBreak/>
        <w:t xml:space="preserve">individuals receiving DD waiver services, as well as DD service provider competency and capacity. </w:t>
      </w:r>
    </w:p>
    <w:p w14:paraId="5EAF497D" w14:textId="5666FC15" w:rsidR="00427D5D" w:rsidRPr="00CA45A9" w:rsidRDefault="00427D5D" w:rsidP="009054AA">
      <w:pPr>
        <w:pStyle w:val="ListParagraph"/>
        <w:numPr>
          <w:ilvl w:val="0"/>
          <w:numId w:val="49"/>
        </w:numPr>
        <w:spacing w:line="240" w:lineRule="auto"/>
        <w:ind w:left="1080"/>
        <w:rPr>
          <w:rStyle w:val="normaltextrun"/>
          <w:rFonts w:ascii="Times New Roman" w:hAnsi="Times New Roman"/>
          <w:sz w:val="24"/>
          <w:szCs w:val="24"/>
        </w:rPr>
      </w:pPr>
      <w:r w:rsidRPr="00FF7398">
        <w:rPr>
          <w:rFonts w:ascii="Times New Roman" w:hAnsi="Times New Roman"/>
          <w:bCs/>
          <w:sz w:val="24"/>
          <w:szCs w:val="24"/>
        </w:rPr>
        <w:t xml:space="preserve">Aimed to decrease administrative burden on providers, developed a Master Document List that lists over 100 documents that are typically requested by review entities such as DBHDS Licensure, DMAS, and </w:t>
      </w:r>
      <w:proofErr w:type="gramStart"/>
      <w:r w:rsidRPr="00FF7398">
        <w:rPr>
          <w:rFonts w:ascii="Times New Roman" w:hAnsi="Times New Roman"/>
          <w:bCs/>
          <w:sz w:val="24"/>
          <w:szCs w:val="24"/>
        </w:rPr>
        <w:t>third party</w:t>
      </w:r>
      <w:proofErr w:type="gramEnd"/>
      <w:r w:rsidRPr="00FF7398">
        <w:rPr>
          <w:rFonts w:ascii="Times New Roman" w:hAnsi="Times New Roman"/>
          <w:bCs/>
          <w:sz w:val="24"/>
          <w:szCs w:val="24"/>
        </w:rPr>
        <w:t xml:space="preserve"> quality and compliance reviewers. </w:t>
      </w:r>
    </w:p>
    <w:p w14:paraId="7CE67673" w14:textId="0C3EBE0B" w:rsidR="00427D5D" w:rsidRPr="00FF7398" w:rsidRDefault="00427D5D" w:rsidP="009054AA">
      <w:pPr>
        <w:pStyle w:val="ListParagraph"/>
        <w:numPr>
          <w:ilvl w:val="0"/>
          <w:numId w:val="8"/>
        </w:numPr>
        <w:spacing w:after="160" w:line="240" w:lineRule="auto"/>
        <w:ind w:left="540"/>
        <w:rPr>
          <w:rFonts w:ascii="Times New Roman" w:hAnsi="Times New Roman"/>
          <w:b/>
          <w:sz w:val="24"/>
          <w:szCs w:val="24"/>
        </w:rPr>
      </w:pPr>
      <w:r w:rsidRPr="00FF7398">
        <w:rPr>
          <w:rFonts w:ascii="Times New Roman" w:hAnsi="Times New Roman"/>
          <w:sz w:val="24"/>
          <w:szCs w:val="24"/>
        </w:rPr>
        <w:t xml:space="preserve">National Core indicators is </w:t>
      </w:r>
      <w:r w:rsidRPr="00FF7398">
        <w:rPr>
          <w:rStyle w:val="NoSpacingChar"/>
          <w:rFonts w:ascii="Times New Roman" w:hAnsi="Times New Roman"/>
          <w:sz w:val="24"/>
          <w:szCs w:val="24"/>
        </w:rPr>
        <w:t>a voluntary effort by public developmental disabilities agencies to measure and track their own performance</w:t>
      </w:r>
      <w:r w:rsidRPr="00CD4C5B">
        <w:rPr>
          <w:rFonts w:ascii="Times New Roman" w:hAnsi="Times New Roman"/>
          <w:sz w:val="24"/>
          <w:szCs w:val="24"/>
        </w:rPr>
        <w:t>.</w:t>
      </w:r>
      <w:r w:rsidRPr="00FF7398">
        <w:rPr>
          <w:rFonts w:ascii="Times New Roman" w:hAnsi="Times New Roman"/>
          <w:sz w:val="24"/>
          <w:szCs w:val="24"/>
        </w:rPr>
        <w:t xml:space="preserve"> The core indicators are standard measures used across states to assess the outcomes of services provided to individuals and families.  Indicators address key areas of concern including employment, rights, service planning, community inclusion, choice, and health and safety.</w:t>
      </w:r>
    </w:p>
    <w:p w14:paraId="3336F5F7" w14:textId="77777777" w:rsidR="00427D5D" w:rsidRPr="00FF7398" w:rsidRDefault="00427D5D" w:rsidP="009054AA">
      <w:pPr>
        <w:pStyle w:val="ListParagraph"/>
        <w:numPr>
          <w:ilvl w:val="1"/>
          <w:numId w:val="48"/>
        </w:numPr>
        <w:spacing w:after="160" w:line="240" w:lineRule="auto"/>
        <w:ind w:left="1080"/>
        <w:rPr>
          <w:rFonts w:ascii="Times New Roman" w:hAnsi="Times New Roman"/>
          <w:sz w:val="24"/>
          <w:szCs w:val="24"/>
        </w:rPr>
      </w:pPr>
      <w:r w:rsidRPr="00FF7398">
        <w:rPr>
          <w:rFonts w:ascii="Times New Roman" w:hAnsi="Times New Roman"/>
          <w:sz w:val="24"/>
          <w:szCs w:val="24"/>
        </w:rPr>
        <w:t>DBHDS partnered with VCU Project Living Well to conduct over 700 interviews with individuals receiving DD waiver services</w:t>
      </w:r>
    </w:p>
    <w:p w14:paraId="5E86CE02" w14:textId="77777777" w:rsidR="00427D5D" w:rsidRPr="00FF7398" w:rsidRDefault="00427D5D" w:rsidP="009054AA">
      <w:pPr>
        <w:pStyle w:val="ListParagraph"/>
        <w:numPr>
          <w:ilvl w:val="1"/>
          <w:numId w:val="48"/>
        </w:numPr>
        <w:spacing w:after="160" w:line="240" w:lineRule="auto"/>
        <w:ind w:left="1080"/>
        <w:rPr>
          <w:rFonts w:ascii="Times New Roman" w:hAnsi="Times New Roman"/>
          <w:sz w:val="24"/>
          <w:szCs w:val="24"/>
        </w:rPr>
      </w:pPr>
      <w:r w:rsidRPr="00FF7398">
        <w:rPr>
          <w:rFonts w:ascii="Times New Roman" w:hAnsi="Times New Roman"/>
          <w:sz w:val="24"/>
          <w:szCs w:val="24"/>
        </w:rPr>
        <w:t xml:space="preserve">Participated in the staff stability survey. Virginia was 1 of 27 states where providers were surveyed regarding employment and separations as well as the impact of COVID on the workforce. </w:t>
      </w:r>
    </w:p>
    <w:p w14:paraId="7E2667A3" w14:textId="6CD56508" w:rsidR="00427D5D" w:rsidRPr="00CA45A9" w:rsidRDefault="00427D5D" w:rsidP="009054AA">
      <w:pPr>
        <w:pStyle w:val="ListParagraph"/>
        <w:numPr>
          <w:ilvl w:val="0"/>
          <w:numId w:val="8"/>
        </w:numPr>
        <w:spacing w:after="160" w:line="240" w:lineRule="auto"/>
        <w:ind w:left="540"/>
        <w:rPr>
          <w:rFonts w:ascii="Times New Roman" w:hAnsi="Times New Roman"/>
          <w:b/>
          <w:sz w:val="24"/>
          <w:szCs w:val="24"/>
        </w:rPr>
      </w:pPr>
      <w:r w:rsidRPr="00CA45A9">
        <w:rPr>
          <w:rFonts w:ascii="Times New Roman" w:hAnsi="Times New Roman"/>
          <w:sz w:val="24"/>
          <w:szCs w:val="24"/>
        </w:rPr>
        <w:t>Quality Service Reviews (QSRs)</w:t>
      </w:r>
      <w:r w:rsidR="00CA45A9" w:rsidRPr="00CA45A9">
        <w:rPr>
          <w:rFonts w:ascii="Times New Roman" w:hAnsi="Times New Roman"/>
          <w:sz w:val="24"/>
          <w:szCs w:val="24"/>
        </w:rPr>
        <w:t xml:space="preserve"> </w:t>
      </w:r>
      <w:r w:rsidRPr="00CA45A9">
        <w:rPr>
          <w:rFonts w:ascii="Times New Roman" w:hAnsi="Times New Roman"/>
          <w:sz w:val="24"/>
          <w:szCs w:val="24"/>
        </w:rPr>
        <w:t>evaluate</w:t>
      </w:r>
      <w:r w:rsidRPr="00CA45A9">
        <w:rPr>
          <w:rFonts w:ascii="Times New Roman" w:hAnsi="Times New Roman"/>
          <w:b/>
          <w:sz w:val="24"/>
          <w:szCs w:val="24"/>
        </w:rPr>
        <w:t xml:space="preserve"> </w:t>
      </w:r>
      <w:r w:rsidRPr="00CA45A9">
        <w:rPr>
          <w:rFonts w:ascii="Times New Roman" w:hAnsi="Times New Roman"/>
          <w:sz w:val="24"/>
          <w:szCs w:val="24"/>
        </w:rPr>
        <w:t>whether individuals’ needs are being identified and met through person-centered planning; in the most integrated setting appropriate to the individuals’ needs and consistent with their informed choice; and whether individuals are having opportunities for integration in all aspects of their lives.</w:t>
      </w:r>
      <w:r w:rsidR="00CA45A9" w:rsidRPr="00CA45A9">
        <w:rPr>
          <w:rFonts w:ascii="Times New Roman" w:hAnsi="Times New Roman"/>
          <w:sz w:val="24"/>
          <w:szCs w:val="24"/>
        </w:rPr>
        <w:t xml:space="preserve"> In FY 2022, </w:t>
      </w:r>
      <w:r w:rsidRPr="00CA45A9">
        <w:rPr>
          <w:rFonts w:ascii="Times New Roman" w:hAnsi="Times New Roman"/>
          <w:sz w:val="24"/>
          <w:szCs w:val="24"/>
        </w:rPr>
        <w:t>The QSR vendor conducted its 3</w:t>
      </w:r>
      <w:r w:rsidRPr="00CA45A9">
        <w:rPr>
          <w:rFonts w:ascii="Times New Roman" w:hAnsi="Times New Roman"/>
          <w:sz w:val="24"/>
          <w:szCs w:val="24"/>
          <w:vertAlign w:val="superscript"/>
        </w:rPr>
        <w:t>rd</w:t>
      </w:r>
      <w:r w:rsidRPr="00CA45A9">
        <w:rPr>
          <w:rFonts w:ascii="Times New Roman" w:hAnsi="Times New Roman"/>
          <w:sz w:val="24"/>
          <w:szCs w:val="24"/>
        </w:rPr>
        <w:t xml:space="preserve"> round of reviews which included 614 eligible licensed DD providers and CSBs and 1</w:t>
      </w:r>
      <w:r w:rsidR="00CA45A9" w:rsidRPr="00CA45A9">
        <w:rPr>
          <w:rFonts w:ascii="Times New Roman" w:hAnsi="Times New Roman"/>
          <w:sz w:val="24"/>
          <w:szCs w:val="24"/>
        </w:rPr>
        <w:t>,</w:t>
      </w:r>
      <w:r w:rsidRPr="00CA45A9">
        <w:rPr>
          <w:rFonts w:ascii="Times New Roman" w:hAnsi="Times New Roman"/>
          <w:sz w:val="24"/>
          <w:szCs w:val="24"/>
        </w:rPr>
        <w:t xml:space="preserve">200 individuals receiving services. </w:t>
      </w:r>
    </w:p>
    <w:p w14:paraId="2262D559" w14:textId="77777777" w:rsidR="00427D5D" w:rsidRPr="00FF7398" w:rsidRDefault="00427D5D" w:rsidP="009054AA">
      <w:pPr>
        <w:pStyle w:val="ListParagraph"/>
        <w:numPr>
          <w:ilvl w:val="0"/>
          <w:numId w:val="8"/>
        </w:numPr>
        <w:spacing w:after="160" w:line="240" w:lineRule="auto"/>
        <w:ind w:left="540"/>
        <w:jc w:val="both"/>
        <w:rPr>
          <w:rFonts w:ascii="Times New Roman" w:hAnsi="Times New Roman"/>
          <w:sz w:val="24"/>
          <w:szCs w:val="24"/>
        </w:rPr>
      </w:pPr>
      <w:r w:rsidRPr="00FF7398">
        <w:rPr>
          <w:rFonts w:ascii="Times New Roman" w:hAnsi="Times New Roman"/>
          <w:sz w:val="24"/>
          <w:szCs w:val="24"/>
        </w:rPr>
        <w:t>Support Coordinator Quality Reviews (SCQR) Look Behind</w:t>
      </w:r>
    </w:p>
    <w:p w14:paraId="449F77FF" w14:textId="6F52B906" w:rsidR="00427D5D" w:rsidRPr="00FF7398" w:rsidRDefault="00CA45A9" w:rsidP="009054AA">
      <w:pPr>
        <w:pStyle w:val="ListParagraph"/>
        <w:numPr>
          <w:ilvl w:val="1"/>
          <w:numId w:val="50"/>
        </w:numPr>
        <w:spacing w:line="240" w:lineRule="auto"/>
        <w:ind w:left="1080"/>
        <w:rPr>
          <w:rFonts w:ascii="Times New Roman" w:hAnsi="Times New Roman"/>
          <w:sz w:val="24"/>
          <w:szCs w:val="24"/>
        </w:rPr>
      </w:pPr>
      <w:r>
        <w:rPr>
          <w:rFonts w:ascii="Times New Roman" w:hAnsi="Times New Roman"/>
          <w:sz w:val="24"/>
          <w:szCs w:val="24"/>
        </w:rPr>
        <w:t>Completed</w:t>
      </w:r>
      <w:r w:rsidR="00427D5D" w:rsidRPr="00FF7398">
        <w:rPr>
          <w:rFonts w:ascii="Times New Roman" w:hAnsi="Times New Roman"/>
          <w:sz w:val="24"/>
          <w:szCs w:val="24"/>
        </w:rPr>
        <w:t xml:space="preserve"> 100, onsite retrospective reviews (designed to validate the findings of the CSB case management supervisory reviews and subsequently facilitate the provision of technical assistance to the case managers and supervisors to address any needed improvements) and 50 inter-rater reliability reviews (designed to ensure consistency in reviewer comprehension and rating between DBHDS reviewers).</w:t>
      </w:r>
    </w:p>
    <w:p w14:paraId="34CB421C" w14:textId="77777777" w:rsidR="00427D5D" w:rsidRPr="00CD4C5B" w:rsidRDefault="00427D5D" w:rsidP="00F46923">
      <w:pPr>
        <w:pStyle w:val="ListParagraph"/>
        <w:spacing w:after="0" w:line="240" w:lineRule="auto"/>
        <w:ind w:left="0"/>
        <w:rPr>
          <w:rFonts w:ascii="Times New Roman" w:hAnsi="Times New Roman"/>
          <w:b/>
          <w:sz w:val="24"/>
          <w:szCs w:val="24"/>
        </w:rPr>
      </w:pPr>
    </w:p>
    <w:p w14:paraId="74B40928" w14:textId="77777777" w:rsidR="00427D5D" w:rsidRPr="00F4298E" w:rsidRDefault="00427D5D" w:rsidP="00BC5FAC">
      <w:pPr>
        <w:pStyle w:val="NoSpacing"/>
        <w:rPr>
          <w:rFonts w:ascii="Times New Roman" w:hAnsi="Times New Roman"/>
          <w:b/>
          <w:bCs/>
          <w:i/>
          <w:iCs/>
          <w:sz w:val="26"/>
          <w:szCs w:val="26"/>
        </w:rPr>
      </w:pPr>
      <w:r w:rsidRPr="00F4298E">
        <w:rPr>
          <w:rFonts w:ascii="Times New Roman" w:hAnsi="Times New Roman"/>
          <w:b/>
          <w:bCs/>
          <w:i/>
          <w:iCs/>
          <w:sz w:val="26"/>
          <w:szCs w:val="26"/>
        </w:rPr>
        <w:t>Mortality Review Office</w:t>
      </w:r>
    </w:p>
    <w:p w14:paraId="39D02D55" w14:textId="77777777" w:rsidR="00427D5D" w:rsidRPr="00CA45A9" w:rsidRDefault="00427D5D" w:rsidP="009054AA">
      <w:pPr>
        <w:pStyle w:val="ListParagraph"/>
        <w:numPr>
          <w:ilvl w:val="0"/>
          <w:numId w:val="9"/>
        </w:numPr>
        <w:spacing w:line="240" w:lineRule="auto"/>
        <w:ind w:left="540"/>
        <w:rPr>
          <w:rFonts w:ascii="Times New Roman" w:hAnsi="Times New Roman"/>
          <w:sz w:val="24"/>
          <w:szCs w:val="24"/>
        </w:rPr>
      </w:pPr>
      <w:r w:rsidRPr="00CA45A9">
        <w:rPr>
          <w:rFonts w:ascii="Times New Roman" w:hAnsi="Times New Roman"/>
          <w:sz w:val="24"/>
          <w:szCs w:val="24"/>
        </w:rPr>
        <w:t>Developmental Disabilities Mortality Review Committee</w:t>
      </w:r>
    </w:p>
    <w:p w14:paraId="0267DBA4" w14:textId="62CEDAC0" w:rsidR="00427D5D" w:rsidRPr="00CD4C5B" w:rsidRDefault="00BC5FAC" w:rsidP="009054AA">
      <w:pPr>
        <w:pStyle w:val="ListParagraph"/>
        <w:numPr>
          <w:ilvl w:val="1"/>
          <w:numId w:val="51"/>
        </w:numPr>
        <w:spacing w:line="240" w:lineRule="auto"/>
        <w:ind w:left="1080"/>
        <w:rPr>
          <w:rFonts w:ascii="Times New Roman" w:hAnsi="Times New Roman"/>
          <w:sz w:val="24"/>
          <w:szCs w:val="24"/>
        </w:rPr>
      </w:pPr>
      <w:r>
        <w:rPr>
          <w:rFonts w:ascii="Times New Roman" w:hAnsi="Times New Roman"/>
          <w:sz w:val="24"/>
          <w:szCs w:val="24"/>
        </w:rPr>
        <w:t>R</w:t>
      </w:r>
      <w:r w:rsidR="00427D5D" w:rsidRPr="00CD4C5B">
        <w:rPr>
          <w:rFonts w:ascii="Times New Roman" w:hAnsi="Times New Roman"/>
          <w:sz w:val="24"/>
          <w:szCs w:val="24"/>
        </w:rPr>
        <w:t xml:space="preserve">eviewed 408 deaths that occurred during FY 2021. This is a 15.3 percent increase from the 354 deaths </w:t>
      </w:r>
      <w:r>
        <w:rPr>
          <w:rFonts w:ascii="Times New Roman" w:hAnsi="Times New Roman"/>
          <w:sz w:val="24"/>
          <w:szCs w:val="24"/>
        </w:rPr>
        <w:t>from the previous year.</w:t>
      </w:r>
    </w:p>
    <w:p w14:paraId="0E685FF7" w14:textId="77777777" w:rsidR="00427D5D" w:rsidRPr="00CA45A9" w:rsidRDefault="00427D5D" w:rsidP="009054AA">
      <w:pPr>
        <w:pStyle w:val="ListParagraph"/>
        <w:numPr>
          <w:ilvl w:val="0"/>
          <w:numId w:val="9"/>
        </w:numPr>
        <w:spacing w:line="240" w:lineRule="auto"/>
        <w:ind w:left="540"/>
        <w:rPr>
          <w:rFonts w:ascii="Times New Roman" w:hAnsi="Times New Roman"/>
          <w:sz w:val="24"/>
          <w:szCs w:val="24"/>
        </w:rPr>
      </w:pPr>
      <w:r w:rsidRPr="00CA45A9">
        <w:rPr>
          <w:rFonts w:ascii="Times New Roman" w:hAnsi="Times New Roman"/>
          <w:sz w:val="24"/>
          <w:szCs w:val="24"/>
        </w:rPr>
        <w:t>State Facility Mortality Review</w:t>
      </w:r>
    </w:p>
    <w:p w14:paraId="55362E97" w14:textId="1C3DF56B" w:rsidR="00427D5D" w:rsidRPr="00FF7398" w:rsidRDefault="00427D5D" w:rsidP="009054AA">
      <w:pPr>
        <w:pStyle w:val="ListParagraph"/>
        <w:numPr>
          <w:ilvl w:val="0"/>
          <w:numId w:val="52"/>
        </w:numPr>
        <w:spacing w:line="240" w:lineRule="auto"/>
        <w:ind w:left="1080"/>
        <w:rPr>
          <w:rFonts w:ascii="Times New Roman" w:hAnsi="Times New Roman"/>
          <w:sz w:val="24"/>
          <w:szCs w:val="24"/>
        </w:rPr>
      </w:pPr>
      <w:r w:rsidRPr="00FF7398">
        <w:rPr>
          <w:rFonts w:ascii="Times New Roman" w:hAnsi="Times New Roman"/>
          <w:sz w:val="24"/>
          <w:szCs w:val="24"/>
        </w:rPr>
        <w:t>Collaborated with VDH to establish an electronic (non-paper copy) process for the sending and receipt of relevant documents</w:t>
      </w:r>
      <w:r w:rsidR="00BC5FAC">
        <w:rPr>
          <w:rFonts w:ascii="Times New Roman" w:hAnsi="Times New Roman"/>
          <w:sz w:val="24"/>
          <w:szCs w:val="24"/>
        </w:rPr>
        <w:t>.</w:t>
      </w:r>
    </w:p>
    <w:p w14:paraId="1AA648F9" w14:textId="7C1041C7" w:rsidR="00427D5D" w:rsidRPr="00FF7398" w:rsidRDefault="00427D5D" w:rsidP="009054AA">
      <w:pPr>
        <w:pStyle w:val="ListParagraph"/>
        <w:numPr>
          <w:ilvl w:val="0"/>
          <w:numId w:val="52"/>
        </w:numPr>
        <w:spacing w:line="240" w:lineRule="auto"/>
        <w:ind w:left="1080"/>
        <w:rPr>
          <w:rFonts w:ascii="Times New Roman" w:hAnsi="Times New Roman"/>
          <w:sz w:val="24"/>
          <w:szCs w:val="24"/>
        </w:rPr>
      </w:pPr>
      <w:r w:rsidRPr="00FF7398">
        <w:rPr>
          <w:rFonts w:ascii="Times New Roman" w:hAnsi="Times New Roman"/>
          <w:sz w:val="24"/>
          <w:szCs w:val="24"/>
        </w:rPr>
        <w:t>Continued performance improvement of DI 315 Reporting and Reviewing Deaths establishes the Central Office process for oversight of facility mortality reviews</w:t>
      </w:r>
      <w:r w:rsidR="00BC5FAC">
        <w:rPr>
          <w:rFonts w:ascii="Times New Roman" w:hAnsi="Times New Roman"/>
          <w:sz w:val="24"/>
          <w:szCs w:val="24"/>
        </w:rPr>
        <w:t>.</w:t>
      </w:r>
    </w:p>
    <w:p w14:paraId="6FA8D95E" w14:textId="77777777" w:rsidR="00427D5D" w:rsidRPr="00F4298E" w:rsidRDefault="00427D5D" w:rsidP="00F46923">
      <w:pPr>
        <w:widowControl w:val="0"/>
        <w:shd w:val="clear" w:color="auto" w:fill="FFFFFF"/>
        <w:contextualSpacing/>
        <w:rPr>
          <w:i/>
          <w:iCs/>
          <w:sz w:val="26"/>
          <w:szCs w:val="26"/>
        </w:rPr>
      </w:pPr>
      <w:r w:rsidRPr="00F4298E">
        <w:rPr>
          <w:b/>
          <w:i/>
          <w:iCs/>
          <w:sz w:val="26"/>
          <w:szCs w:val="26"/>
        </w:rPr>
        <w:t>Data Quality and Visualization</w:t>
      </w:r>
    </w:p>
    <w:p w14:paraId="3410CC9D" w14:textId="496F8D07" w:rsidR="00427D5D" w:rsidRPr="00CD4C5B" w:rsidRDefault="00427D5D" w:rsidP="009054AA">
      <w:pPr>
        <w:widowControl w:val="0"/>
        <w:numPr>
          <w:ilvl w:val="0"/>
          <w:numId w:val="53"/>
        </w:numPr>
        <w:shd w:val="clear" w:color="auto" w:fill="FFFFFF"/>
        <w:ind w:left="540"/>
        <w:contextualSpacing/>
        <w:rPr>
          <w:color w:val="000000" w:themeColor="text1"/>
        </w:rPr>
      </w:pPr>
      <w:r w:rsidRPr="00CD4C5B">
        <w:rPr>
          <w:color w:val="000000" w:themeColor="text1"/>
        </w:rPr>
        <w:t xml:space="preserve">Revised and </w:t>
      </w:r>
      <w:r w:rsidR="00F4298E" w:rsidRPr="00CD4C5B">
        <w:rPr>
          <w:color w:val="000000" w:themeColor="text1"/>
        </w:rPr>
        <w:t>implemented methodology</w:t>
      </w:r>
      <w:r w:rsidRPr="00CD4C5B">
        <w:rPr>
          <w:color w:val="000000" w:themeColor="text1"/>
        </w:rPr>
        <w:t xml:space="preserve"> for the Support Coordination Quality Review (SCQR). This includes the measurement of ten compliance indicators, comprehensive technical guidance to support reliable completion, sampling framework, a look behind review process, and interrater reliability. Produced CSB-specific reports for technical assistance, an annual compliance report, and tracked CSB completion on an online dashboard.</w:t>
      </w:r>
    </w:p>
    <w:p w14:paraId="03866D85" w14:textId="77777777" w:rsidR="00427D5D" w:rsidRPr="00CD4C5B" w:rsidRDefault="00427D5D" w:rsidP="009054AA">
      <w:pPr>
        <w:widowControl w:val="0"/>
        <w:numPr>
          <w:ilvl w:val="0"/>
          <w:numId w:val="53"/>
        </w:numPr>
        <w:shd w:val="clear" w:color="auto" w:fill="FFFFFF"/>
        <w:ind w:left="540"/>
        <w:contextualSpacing/>
        <w:rPr>
          <w:bCs/>
          <w:iCs/>
          <w:color w:val="000000" w:themeColor="text1"/>
        </w:rPr>
      </w:pPr>
      <w:r w:rsidRPr="00CD4C5B">
        <w:rPr>
          <w:color w:val="000000" w:themeColor="text1"/>
        </w:rPr>
        <w:t xml:space="preserve">Created the agency’s first online versions of the Mental Health Statistics Improvement </w:t>
      </w:r>
      <w:r w:rsidRPr="00CD4C5B">
        <w:rPr>
          <w:color w:val="000000" w:themeColor="text1"/>
        </w:rPr>
        <w:lastRenderedPageBreak/>
        <w:t>Program</w:t>
      </w:r>
      <w:r w:rsidRPr="00CD4C5B">
        <w:rPr>
          <w:bCs/>
          <w:iCs/>
          <w:color w:val="000000" w:themeColor="text1"/>
        </w:rPr>
        <w:t xml:space="preserve"> (MHSIP) and Youth Services Survey for Families (YSS-F). Coordinated with the Division of Community Services and Old Dominion University to distribute the online version and track responses.</w:t>
      </w:r>
    </w:p>
    <w:p w14:paraId="5724298F" w14:textId="77777777" w:rsidR="00427D5D" w:rsidRPr="00CD4C5B" w:rsidRDefault="00427D5D" w:rsidP="009054AA">
      <w:pPr>
        <w:widowControl w:val="0"/>
        <w:numPr>
          <w:ilvl w:val="0"/>
          <w:numId w:val="53"/>
        </w:numPr>
        <w:shd w:val="clear" w:color="auto" w:fill="FFFFFF"/>
        <w:ind w:left="540"/>
        <w:contextualSpacing/>
        <w:rPr>
          <w:bCs/>
          <w:iCs/>
          <w:color w:val="000000" w:themeColor="text1"/>
        </w:rPr>
      </w:pPr>
      <w:r w:rsidRPr="00CD4C5B">
        <w:rPr>
          <w:bCs/>
          <w:iCs/>
          <w:color w:val="000000" w:themeColor="text1"/>
        </w:rPr>
        <w:t xml:space="preserve">Provided all analytics for the Mortality Review Committee including timeliness of review monitoring (90-day goal), facility deaths, ad hoc </w:t>
      </w:r>
      <w:proofErr w:type="gramStart"/>
      <w:r w:rsidRPr="00CD4C5B">
        <w:rPr>
          <w:bCs/>
          <w:iCs/>
          <w:color w:val="000000" w:themeColor="text1"/>
        </w:rPr>
        <w:t>requests</w:t>
      </w:r>
      <w:proofErr w:type="gramEnd"/>
      <w:r w:rsidRPr="00CD4C5B">
        <w:rPr>
          <w:bCs/>
          <w:iCs/>
          <w:color w:val="000000" w:themeColor="text1"/>
        </w:rPr>
        <w:t xml:space="preserve"> and the Annual Mortality Report.</w:t>
      </w:r>
    </w:p>
    <w:p w14:paraId="32C4CA79" w14:textId="77777777" w:rsidR="00427D5D" w:rsidRPr="00FF7398" w:rsidRDefault="00427D5D" w:rsidP="00F46923">
      <w:pPr>
        <w:pStyle w:val="ListParagraph"/>
        <w:widowControl w:val="0"/>
        <w:shd w:val="clear" w:color="auto" w:fill="FFFFFF"/>
        <w:spacing w:after="0" w:line="240" w:lineRule="auto"/>
        <w:rPr>
          <w:rFonts w:ascii="Times New Roman" w:eastAsia="Times New Roman" w:hAnsi="Times New Roman"/>
          <w:sz w:val="24"/>
          <w:szCs w:val="24"/>
        </w:rPr>
      </w:pPr>
    </w:p>
    <w:p w14:paraId="4298449F" w14:textId="77777777" w:rsidR="00427D5D" w:rsidRPr="00F4298E" w:rsidRDefault="00427D5D" w:rsidP="00F46923">
      <w:pPr>
        <w:rPr>
          <w:b/>
          <w:i/>
          <w:iCs/>
          <w:sz w:val="26"/>
          <w:szCs w:val="26"/>
        </w:rPr>
      </w:pPr>
      <w:r w:rsidRPr="00F4298E">
        <w:rPr>
          <w:b/>
          <w:i/>
          <w:iCs/>
          <w:sz w:val="26"/>
          <w:szCs w:val="26"/>
        </w:rPr>
        <w:t>Pharmacy Services</w:t>
      </w:r>
    </w:p>
    <w:p w14:paraId="6C12F808" w14:textId="3632324B" w:rsidR="00427D5D" w:rsidRPr="00CD4C5B" w:rsidRDefault="00427D5D" w:rsidP="009B6184">
      <w:pPr>
        <w:pStyle w:val="NoSpacing"/>
      </w:pPr>
      <w:r w:rsidRPr="00CD4C5B">
        <w:rPr>
          <w:rFonts w:ascii="Times New Roman" w:hAnsi="Times New Roman"/>
          <w:sz w:val="24"/>
          <w:szCs w:val="24"/>
        </w:rPr>
        <w:t>Pharmacy services provides clinical support across multiple programs of DBHDS to enhance clinical cost effectiveness, access to necessary therapeutics, and clinical decision support tools to improve standardization and utilization of medical and psychiatric drugs.  Support for the state facilities includes</w:t>
      </w:r>
      <w:r w:rsidR="009B6184">
        <w:rPr>
          <w:rFonts w:ascii="Times New Roman" w:hAnsi="Times New Roman"/>
          <w:sz w:val="24"/>
          <w:szCs w:val="24"/>
        </w:rPr>
        <w:t xml:space="preserve"> s</w:t>
      </w:r>
      <w:r w:rsidRPr="00CD4C5B">
        <w:rPr>
          <w:rFonts w:ascii="Times New Roman" w:hAnsi="Times New Roman"/>
          <w:sz w:val="24"/>
          <w:szCs w:val="24"/>
        </w:rPr>
        <w:t>erving as a central contract author/administrator</w:t>
      </w:r>
      <w:r w:rsidR="009B6184">
        <w:rPr>
          <w:rFonts w:ascii="Times New Roman" w:hAnsi="Times New Roman"/>
          <w:sz w:val="24"/>
          <w:szCs w:val="24"/>
        </w:rPr>
        <w:t xml:space="preserve"> for </w:t>
      </w:r>
      <w:r w:rsidRPr="009B6184">
        <w:rPr>
          <w:rFonts w:ascii="Times New Roman" w:hAnsi="Times New Roman"/>
          <w:bCs/>
          <w:sz w:val="24"/>
          <w:szCs w:val="24"/>
        </w:rPr>
        <w:t>Medicare Part D Pharmacy Benefit Management (PBM) Companies</w:t>
      </w:r>
      <w:r w:rsidR="009B6184">
        <w:rPr>
          <w:rFonts w:ascii="Times New Roman" w:hAnsi="Times New Roman"/>
          <w:bCs/>
          <w:sz w:val="24"/>
          <w:szCs w:val="24"/>
        </w:rPr>
        <w:t xml:space="preserve"> (</w:t>
      </w:r>
      <w:r w:rsidRPr="009B6184">
        <w:rPr>
          <w:rFonts w:ascii="Times New Roman" w:hAnsi="Times New Roman"/>
          <w:sz w:val="24"/>
          <w:szCs w:val="24"/>
        </w:rPr>
        <w:t>CVS Health/Caremark</w:t>
      </w:r>
      <w:r w:rsidR="009B6184" w:rsidRPr="009B6184">
        <w:rPr>
          <w:rFonts w:ascii="Times New Roman" w:hAnsi="Times New Roman"/>
          <w:sz w:val="24"/>
          <w:szCs w:val="24"/>
        </w:rPr>
        <w:t xml:space="preserve">, </w:t>
      </w:r>
      <w:proofErr w:type="spellStart"/>
      <w:r w:rsidRPr="009B6184">
        <w:rPr>
          <w:rFonts w:ascii="Times New Roman" w:hAnsi="Times New Roman"/>
          <w:sz w:val="24"/>
          <w:szCs w:val="24"/>
        </w:rPr>
        <w:t>RxAdvance</w:t>
      </w:r>
      <w:proofErr w:type="spellEnd"/>
      <w:r w:rsidRPr="009B6184">
        <w:rPr>
          <w:rFonts w:ascii="Times New Roman" w:hAnsi="Times New Roman"/>
          <w:sz w:val="24"/>
          <w:szCs w:val="24"/>
        </w:rPr>
        <w:t xml:space="preserve"> (Walgreens)</w:t>
      </w:r>
      <w:r w:rsidR="009B6184" w:rsidRPr="009B6184">
        <w:rPr>
          <w:rFonts w:ascii="Times New Roman" w:hAnsi="Times New Roman"/>
          <w:sz w:val="24"/>
          <w:szCs w:val="24"/>
        </w:rPr>
        <w:t xml:space="preserve">, </w:t>
      </w:r>
      <w:r w:rsidRPr="009B6184">
        <w:rPr>
          <w:rFonts w:ascii="Times New Roman" w:hAnsi="Times New Roman"/>
          <w:sz w:val="24"/>
          <w:szCs w:val="24"/>
        </w:rPr>
        <w:t>Express Scripts (Cigna)</w:t>
      </w:r>
      <w:r w:rsidR="009B6184" w:rsidRPr="009B6184">
        <w:rPr>
          <w:rFonts w:ascii="Times New Roman" w:hAnsi="Times New Roman"/>
          <w:sz w:val="24"/>
          <w:szCs w:val="24"/>
        </w:rPr>
        <w:t xml:space="preserve">, </w:t>
      </w:r>
      <w:r w:rsidRPr="009B6184">
        <w:rPr>
          <w:rFonts w:ascii="Times New Roman" w:hAnsi="Times New Roman"/>
          <w:sz w:val="24"/>
          <w:szCs w:val="24"/>
        </w:rPr>
        <w:t>OptumRx (UnitedHealth Group) and Humana (Walmart)</w:t>
      </w:r>
      <w:r w:rsidR="009B6184">
        <w:rPr>
          <w:rFonts w:ascii="Times New Roman" w:hAnsi="Times New Roman"/>
          <w:sz w:val="24"/>
          <w:szCs w:val="24"/>
        </w:rPr>
        <w:t xml:space="preserve">). Also manages additional contracts for pharmacy services, and conducts community outreach and provides technical assistance; for example, in FY 2022, pharmacy participated in </w:t>
      </w:r>
      <w:r w:rsidRPr="00FF7398">
        <w:rPr>
          <w:rFonts w:ascii="Times New Roman" w:hAnsi="Times New Roman"/>
          <w:sz w:val="24"/>
          <w:szCs w:val="24"/>
        </w:rPr>
        <w:t>Remote Area Medical Clinics to provide Revive Training and Naloxone nasal spray to participants</w:t>
      </w:r>
      <w:r w:rsidR="009B6184">
        <w:rPr>
          <w:rFonts w:ascii="Times New Roman" w:hAnsi="Times New Roman"/>
          <w:sz w:val="24"/>
          <w:szCs w:val="24"/>
        </w:rPr>
        <w:t>, and e</w:t>
      </w:r>
      <w:r w:rsidRPr="00CD4C5B">
        <w:rPr>
          <w:rFonts w:ascii="Times New Roman" w:hAnsi="Times New Roman"/>
          <w:sz w:val="24"/>
          <w:szCs w:val="24"/>
        </w:rPr>
        <w:t xml:space="preserve">stablished and gained approval for </w:t>
      </w:r>
      <w:r w:rsidR="009B6184">
        <w:rPr>
          <w:rFonts w:ascii="Times New Roman" w:hAnsi="Times New Roman"/>
          <w:sz w:val="24"/>
          <w:szCs w:val="24"/>
        </w:rPr>
        <w:t>two pilot projects</w:t>
      </w:r>
      <w:r w:rsidRPr="00CD4C5B">
        <w:rPr>
          <w:rFonts w:ascii="Times New Roman" w:hAnsi="Times New Roman"/>
          <w:sz w:val="24"/>
          <w:szCs w:val="24"/>
        </w:rPr>
        <w:t xml:space="preserve"> through the Board of Pharmacy to increase medication access in crisis receiving centers </w:t>
      </w:r>
      <w:proofErr w:type="gramStart"/>
      <w:r w:rsidRPr="00CD4C5B">
        <w:rPr>
          <w:rFonts w:ascii="Times New Roman" w:hAnsi="Times New Roman"/>
          <w:sz w:val="24"/>
          <w:szCs w:val="24"/>
        </w:rPr>
        <w:t>through the use of</w:t>
      </w:r>
      <w:proofErr w:type="gramEnd"/>
      <w:r w:rsidRPr="00CD4C5B">
        <w:rPr>
          <w:rFonts w:ascii="Times New Roman" w:hAnsi="Times New Roman"/>
          <w:sz w:val="24"/>
          <w:szCs w:val="24"/>
        </w:rPr>
        <w:t xml:space="preserve"> automatic dispensing devices</w:t>
      </w:r>
    </w:p>
    <w:p w14:paraId="6F385DF3" w14:textId="77777777" w:rsidR="00427D5D" w:rsidRPr="00CD4C5B" w:rsidRDefault="00427D5D" w:rsidP="00F46923">
      <w:pPr>
        <w:pStyle w:val="Heading1"/>
        <w:rPr>
          <w:i w:val="0"/>
        </w:rPr>
      </w:pPr>
    </w:p>
    <w:p w14:paraId="24BA3061" w14:textId="77777777" w:rsidR="00F815D5" w:rsidRPr="00F4298E" w:rsidRDefault="00F815D5" w:rsidP="00F46923">
      <w:pPr>
        <w:pStyle w:val="paragraph"/>
        <w:spacing w:before="0" w:beforeAutospacing="0" w:after="0" w:afterAutospacing="0"/>
        <w:textAlignment w:val="baseline"/>
        <w:rPr>
          <w:rStyle w:val="normaltextrun"/>
          <w:b/>
          <w:bCs/>
        </w:rPr>
      </w:pPr>
    </w:p>
    <w:p w14:paraId="4306B18A" w14:textId="21A07BCD" w:rsidR="007B4EA3" w:rsidRPr="009B6184" w:rsidRDefault="007B4EA3" w:rsidP="00F46923">
      <w:pPr>
        <w:pStyle w:val="paragraph"/>
        <w:spacing w:before="0" w:beforeAutospacing="0" w:after="0" w:afterAutospacing="0"/>
        <w:textAlignment w:val="baseline"/>
        <w:rPr>
          <w:rStyle w:val="eop"/>
          <w:sz w:val="36"/>
          <w:szCs w:val="36"/>
        </w:rPr>
      </w:pPr>
      <w:r w:rsidRPr="009B6184">
        <w:rPr>
          <w:rStyle w:val="normaltextrun"/>
          <w:b/>
          <w:bCs/>
          <w:sz w:val="36"/>
          <w:szCs w:val="36"/>
        </w:rPr>
        <w:t xml:space="preserve">Community Services </w:t>
      </w:r>
    </w:p>
    <w:p w14:paraId="72D5DA4A" w14:textId="77777777" w:rsidR="007B4EA3" w:rsidRPr="00B62B54" w:rsidRDefault="007B4EA3" w:rsidP="00F46923">
      <w:pPr>
        <w:pStyle w:val="paragraph"/>
        <w:spacing w:before="0" w:beforeAutospacing="0" w:after="0" w:afterAutospacing="0"/>
        <w:textAlignment w:val="baseline"/>
        <w:rPr>
          <w:b/>
          <w:i/>
          <w:sz w:val="30"/>
          <w:szCs w:val="30"/>
        </w:rPr>
      </w:pPr>
    </w:p>
    <w:p w14:paraId="11243CF3" w14:textId="77777777" w:rsidR="007B4EA3" w:rsidRPr="00F4298E" w:rsidRDefault="007B4EA3" w:rsidP="00F46923">
      <w:pPr>
        <w:pStyle w:val="paragraph"/>
        <w:spacing w:before="0" w:beforeAutospacing="0" w:after="0" w:afterAutospacing="0"/>
        <w:textAlignment w:val="baseline"/>
        <w:rPr>
          <w:iCs/>
          <w:sz w:val="28"/>
          <w:szCs w:val="28"/>
        </w:rPr>
      </w:pPr>
      <w:r w:rsidRPr="00F4298E">
        <w:rPr>
          <w:b/>
          <w:iCs/>
          <w:sz w:val="28"/>
          <w:szCs w:val="28"/>
        </w:rPr>
        <w:t xml:space="preserve">Behavioral Health Community Services </w:t>
      </w:r>
    </w:p>
    <w:p w14:paraId="3642F7B1" w14:textId="77777777" w:rsidR="007B4EA3" w:rsidRPr="00B62B54" w:rsidRDefault="007B4EA3" w:rsidP="00F46923">
      <w:pPr>
        <w:pStyle w:val="NoSpacing"/>
        <w:rPr>
          <w:rFonts w:ascii="Times New Roman" w:hAnsi="Times New Roman"/>
          <w:b/>
          <w:i/>
          <w:sz w:val="24"/>
          <w:szCs w:val="26"/>
        </w:rPr>
      </w:pPr>
    </w:p>
    <w:p w14:paraId="7F1A39AC" w14:textId="66F1E038" w:rsidR="00F02990" w:rsidRDefault="00F02990" w:rsidP="003F39C8">
      <w:pPr>
        <w:pStyle w:val="NoSpacing"/>
        <w:rPr>
          <w:rFonts w:ascii="Times New Roman" w:hAnsi="Times New Roman"/>
          <w:sz w:val="24"/>
          <w:szCs w:val="24"/>
        </w:rPr>
      </w:pPr>
      <w:r w:rsidRPr="00F4298E">
        <w:rPr>
          <w:rFonts w:ascii="Times New Roman" w:hAnsi="Times New Roman"/>
          <w:b/>
          <w:bCs/>
          <w:i/>
          <w:iCs/>
          <w:sz w:val="26"/>
          <w:szCs w:val="26"/>
        </w:rPr>
        <w:t>System Transformation Excellence and Performance (STEP-VA)</w:t>
      </w:r>
      <w:r w:rsidR="003F39C8">
        <w:rPr>
          <w:rFonts w:ascii="Times New Roman" w:hAnsi="Times New Roman"/>
          <w:sz w:val="24"/>
          <w:szCs w:val="24"/>
        </w:rPr>
        <w:br/>
      </w:r>
      <w:r w:rsidRPr="003F39C8">
        <w:rPr>
          <w:rFonts w:ascii="Times New Roman" w:hAnsi="Times New Roman"/>
          <w:sz w:val="24"/>
          <w:szCs w:val="24"/>
        </w:rPr>
        <w:t xml:space="preserve">DBHDS continued working with the Administration, the General Assembly, and stakeholders to implement STEP-VA, an initiative that features a uniform set of services with consistent availability and improved oversight of services across all Virginia communities. A full annual report on STEP-VA implementation is provided to the General Assembly each November. Implementation follows a </w:t>
      </w:r>
      <w:r w:rsidR="00EE36CD" w:rsidRPr="003F39C8">
        <w:rPr>
          <w:rFonts w:ascii="Times New Roman" w:hAnsi="Times New Roman"/>
          <w:sz w:val="24"/>
          <w:szCs w:val="24"/>
        </w:rPr>
        <w:t>three-phase</w:t>
      </w:r>
      <w:r w:rsidRPr="003F39C8">
        <w:rPr>
          <w:rFonts w:ascii="Times New Roman" w:hAnsi="Times New Roman"/>
          <w:sz w:val="24"/>
          <w:szCs w:val="24"/>
        </w:rPr>
        <w:t xml:space="preserve"> approach</w:t>
      </w:r>
      <w:r w:rsidR="00EE36CD">
        <w:rPr>
          <w:rFonts w:ascii="Times New Roman" w:hAnsi="Times New Roman"/>
          <w:sz w:val="24"/>
          <w:szCs w:val="24"/>
        </w:rPr>
        <w:t>, with phase one representing the initial stage and phase three representing full implementation</w:t>
      </w:r>
      <w:r w:rsidRPr="003F39C8">
        <w:rPr>
          <w:rFonts w:ascii="Times New Roman" w:hAnsi="Times New Roman"/>
          <w:sz w:val="24"/>
          <w:szCs w:val="24"/>
        </w:rPr>
        <w:t>:</w:t>
      </w:r>
    </w:p>
    <w:p w14:paraId="2C237FBC" w14:textId="77777777" w:rsidR="00F02990" w:rsidRPr="00D15731" w:rsidRDefault="00F02990" w:rsidP="003F39C8">
      <w:pPr>
        <w:pStyle w:val="NoSpacing"/>
        <w:rPr>
          <w:rFonts w:ascii="Times New Roman" w:hAnsi="Times New Roman"/>
          <w:sz w:val="24"/>
          <w:szCs w:val="24"/>
        </w:rPr>
      </w:pPr>
    </w:p>
    <w:tbl>
      <w:tblPr>
        <w:tblStyle w:val="TableGrid"/>
        <w:tblW w:w="8550" w:type="dxa"/>
        <w:tblInd w:w="5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4229"/>
        <w:gridCol w:w="1440"/>
        <w:gridCol w:w="1440"/>
        <w:gridCol w:w="1441"/>
      </w:tblGrid>
      <w:tr w:rsidR="003F39C8" w:rsidRPr="003F39C8" w14:paraId="56DDAB42" w14:textId="77777777" w:rsidTr="003F39C8">
        <w:trPr>
          <w:trHeight w:val="70"/>
        </w:trPr>
        <w:tc>
          <w:tcPr>
            <w:tcW w:w="4229" w:type="dxa"/>
            <w:shd w:val="clear" w:color="auto" w:fill="auto"/>
          </w:tcPr>
          <w:p w14:paraId="68E819B3" w14:textId="77777777" w:rsidR="00F02990" w:rsidRPr="003F39C8" w:rsidRDefault="00F02990" w:rsidP="003F39C8">
            <w:pPr>
              <w:jc w:val="center"/>
              <w:rPr>
                <w:rFonts w:asciiTheme="minorHAnsi" w:eastAsia="Calibri" w:hAnsiTheme="minorHAnsi" w:cstheme="minorHAnsi"/>
                <w:b/>
                <w:bCs/>
                <w:sz w:val="20"/>
                <w:szCs w:val="20"/>
              </w:rPr>
            </w:pPr>
            <w:r w:rsidRPr="003F39C8">
              <w:rPr>
                <w:rFonts w:asciiTheme="minorHAnsi" w:eastAsia="Calibri" w:hAnsiTheme="minorHAnsi" w:cstheme="minorHAnsi"/>
                <w:b/>
                <w:bCs/>
                <w:sz w:val="20"/>
                <w:szCs w:val="20"/>
              </w:rPr>
              <w:t>STEP</w:t>
            </w:r>
          </w:p>
        </w:tc>
        <w:tc>
          <w:tcPr>
            <w:tcW w:w="1440" w:type="dxa"/>
            <w:shd w:val="clear" w:color="auto" w:fill="auto"/>
          </w:tcPr>
          <w:p w14:paraId="2B2ED008" w14:textId="2DC05F3D" w:rsidR="00F02990" w:rsidRPr="003F39C8" w:rsidRDefault="00F02990" w:rsidP="003F39C8">
            <w:pPr>
              <w:jc w:val="center"/>
              <w:rPr>
                <w:rFonts w:asciiTheme="minorHAnsi" w:eastAsia="Calibri" w:hAnsiTheme="minorHAnsi" w:cstheme="minorHAnsi"/>
                <w:b/>
                <w:bCs/>
                <w:sz w:val="20"/>
                <w:szCs w:val="20"/>
              </w:rPr>
            </w:pPr>
            <w:r w:rsidRPr="003F39C8">
              <w:rPr>
                <w:rFonts w:asciiTheme="minorHAnsi" w:eastAsia="Calibri" w:hAnsiTheme="minorHAnsi" w:cstheme="minorHAnsi"/>
                <w:b/>
                <w:bCs/>
                <w:sz w:val="20"/>
                <w:szCs w:val="20"/>
              </w:rPr>
              <w:t>Phase 1</w:t>
            </w:r>
            <w:r w:rsidR="003F39C8">
              <w:rPr>
                <w:rFonts w:asciiTheme="minorHAnsi" w:eastAsia="Calibri" w:hAnsiTheme="minorHAnsi" w:cstheme="minorHAnsi"/>
                <w:b/>
                <w:bCs/>
                <w:sz w:val="20"/>
                <w:szCs w:val="20"/>
              </w:rPr>
              <w:t xml:space="preserve"> CSBs</w:t>
            </w:r>
          </w:p>
        </w:tc>
        <w:tc>
          <w:tcPr>
            <w:tcW w:w="1440" w:type="dxa"/>
            <w:shd w:val="clear" w:color="auto" w:fill="auto"/>
          </w:tcPr>
          <w:p w14:paraId="3DEF7AE1" w14:textId="6BE1A76D" w:rsidR="00F02990" w:rsidRPr="003F39C8" w:rsidRDefault="00F02990" w:rsidP="003F39C8">
            <w:pPr>
              <w:jc w:val="center"/>
              <w:rPr>
                <w:rFonts w:asciiTheme="minorHAnsi" w:eastAsia="Calibri" w:hAnsiTheme="minorHAnsi" w:cstheme="minorHAnsi"/>
                <w:b/>
                <w:bCs/>
                <w:sz w:val="20"/>
                <w:szCs w:val="20"/>
              </w:rPr>
            </w:pPr>
            <w:r w:rsidRPr="003F39C8">
              <w:rPr>
                <w:rFonts w:asciiTheme="minorHAnsi" w:eastAsia="Calibri" w:hAnsiTheme="minorHAnsi" w:cstheme="minorHAnsi"/>
                <w:b/>
                <w:bCs/>
                <w:sz w:val="20"/>
                <w:szCs w:val="20"/>
              </w:rPr>
              <w:t>Phase 2</w:t>
            </w:r>
            <w:r w:rsidR="003F39C8">
              <w:rPr>
                <w:rFonts w:asciiTheme="minorHAnsi" w:eastAsia="Calibri" w:hAnsiTheme="minorHAnsi" w:cstheme="minorHAnsi"/>
                <w:b/>
                <w:bCs/>
                <w:sz w:val="20"/>
                <w:szCs w:val="20"/>
              </w:rPr>
              <w:t xml:space="preserve"> CSBs</w:t>
            </w:r>
          </w:p>
        </w:tc>
        <w:tc>
          <w:tcPr>
            <w:tcW w:w="1441" w:type="dxa"/>
            <w:shd w:val="clear" w:color="auto" w:fill="auto"/>
          </w:tcPr>
          <w:p w14:paraId="2749D784" w14:textId="78A66636" w:rsidR="00F02990" w:rsidRPr="003F39C8" w:rsidRDefault="00F02990" w:rsidP="003F39C8">
            <w:pPr>
              <w:jc w:val="center"/>
              <w:rPr>
                <w:rFonts w:asciiTheme="minorHAnsi" w:eastAsia="Calibri" w:hAnsiTheme="minorHAnsi" w:cstheme="minorHAnsi"/>
                <w:b/>
                <w:bCs/>
                <w:sz w:val="20"/>
                <w:szCs w:val="20"/>
              </w:rPr>
            </w:pPr>
            <w:r w:rsidRPr="003F39C8">
              <w:rPr>
                <w:rFonts w:asciiTheme="minorHAnsi" w:eastAsia="Calibri" w:hAnsiTheme="minorHAnsi" w:cstheme="minorHAnsi"/>
                <w:b/>
                <w:bCs/>
                <w:sz w:val="20"/>
                <w:szCs w:val="20"/>
              </w:rPr>
              <w:t>Phase 3</w:t>
            </w:r>
            <w:r w:rsidR="003F39C8">
              <w:rPr>
                <w:rFonts w:asciiTheme="minorHAnsi" w:eastAsia="Calibri" w:hAnsiTheme="minorHAnsi" w:cstheme="minorHAnsi"/>
                <w:b/>
                <w:bCs/>
                <w:sz w:val="20"/>
                <w:szCs w:val="20"/>
              </w:rPr>
              <w:t xml:space="preserve"> CSBs</w:t>
            </w:r>
          </w:p>
        </w:tc>
      </w:tr>
      <w:tr w:rsidR="003F39C8" w:rsidRPr="003F39C8" w14:paraId="4EC9A8D5" w14:textId="77777777" w:rsidTr="003F39C8">
        <w:trPr>
          <w:trHeight w:val="70"/>
        </w:trPr>
        <w:tc>
          <w:tcPr>
            <w:tcW w:w="4229" w:type="dxa"/>
            <w:shd w:val="clear" w:color="auto" w:fill="auto"/>
          </w:tcPr>
          <w:p w14:paraId="10FFE7AF" w14:textId="77777777" w:rsidR="00F02990" w:rsidRPr="003F39C8" w:rsidRDefault="00F02990" w:rsidP="003F39C8">
            <w:pPr>
              <w:rPr>
                <w:rFonts w:asciiTheme="minorHAnsi" w:eastAsia="Calibri" w:hAnsiTheme="minorHAnsi" w:cstheme="minorHAnsi"/>
                <w:sz w:val="20"/>
                <w:szCs w:val="20"/>
              </w:rPr>
            </w:pPr>
            <w:r w:rsidRPr="003F39C8">
              <w:rPr>
                <w:rFonts w:asciiTheme="minorHAnsi" w:eastAsia="Calibri" w:hAnsiTheme="minorHAnsi" w:cstheme="minorHAnsi"/>
                <w:sz w:val="20"/>
                <w:szCs w:val="20"/>
              </w:rPr>
              <w:t>Same Day Access</w:t>
            </w:r>
          </w:p>
        </w:tc>
        <w:tc>
          <w:tcPr>
            <w:tcW w:w="1440" w:type="dxa"/>
            <w:shd w:val="clear" w:color="auto" w:fill="auto"/>
          </w:tcPr>
          <w:p w14:paraId="4467DCD8"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0</w:t>
            </w:r>
          </w:p>
        </w:tc>
        <w:tc>
          <w:tcPr>
            <w:tcW w:w="1440" w:type="dxa"/>
            <w:shd w:val="clear" w:color="auto" w:fill="auto"/>
          </w:tcPr>
          <w:p w14:paraId="5F90341E"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0</w:t>
            </w:r>
          </w:p>
        </w:tc>
        <w:tc>
          <w:tcPr>
            <w:tcW w:w="1441" w:type="dxa"/>
            <w:shd w:val="clear" w:color="auto" w:fill="auto"/>
          </w:tcPr>
          <w:p w14:paraId="3A2C4115"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40</w:t>
            </w:r>
          </w:p>
        </w:tc>
      </w:tr>
      <w:tr w:rsidR="003F39C8" w:rsidRPr="003F39C8" w14:paraId="58630FA9" w14:textId="77777777" w:rsidTr="003F39C8">
        <w:trPr>
          <w:trHeight w:val="70"/>
        </w:trPr>
        <w:tc>
          <w:tcPr>
            <w:tcW w:w="4229" w:type="dxa"/>
            <w:shd w:val="clear" w:color="auto" w:fill="auto"/>
          </w:tcPr>
          <w:p w14:paraId="295EC3EE" w14:textId="77777777" w:rsidR="00F02990" w:rsidRPr="003F39C8" w:rsidRDefault="00F02990" w:rsidP="003F39C8">
            <w:pPr>
              <w:rPr>
                <w:rFonts w:asciiTheme="minorHAnsi" w:eastAsia="Calibri" w:hAnsiTheme="minorHAnsi" w:cstheme="minorHAnsi"/>
                <w:sz w:val="20"/>
                <w:szCs w:val="20"/>
              </w:rPr>
            </w:pPr>
            <w:r w:rsidRPr="003F39C8">
              <w:rPr>
                <w:rFonts w:asciiTheme="minorHAnsi" w:eastAsia="Calibri" w:hAnsiTheme="minorHAnsi" w:cstheme="minorHAnsi"/>
                <w:sz w:val="20"/>
                <w:szCs w:val="20"/>
              </w:rPr>
              <w:t xml:space="preserve">Primary Care Screening </w:t>
            </w:r>
          </w:p>
        </w:tc>
        <w:tc>
          <w:tcPr>
            <w:tcW w:w="1440" w:type="dxa"/>
            <w:shd w:val="clear" w:color="auto" w:fill="auto"/>
          </w:tcPr>
          <w:p w14:paraId="338F3F0E"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0</w:t>
            </w:r>
          </w:p>
        </w:tc>
        <w:tc>
          <w:tcPr>
            <w:tcW w:w="1440" w:type="dxa"/>
            <w:shd w:val="clear" w:color="auto" w:fill="auto"/>
          </w:tcPr>
          <w:p w14:paraId="1972BB67"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0</w:t>
            </w:r>
          </w:p>
        </w:tc>
        <w:tc>
          <w:tcPr>
            <w:tcW w:w="1441" w:type="dxa"/>
            <w:shd w:val="clear" w:color="auto" w:fill="auto"/>
          </w:tcPr>
          <w:p w14:paraId="618C248D"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40</w:t>
            </w:r>
          </w:p>
        </w:tc>
      </w:tr>
      <w:tr w:rsidR="003F39C8" w:rsidRPr="003F39C8" w14:paraId="6E7927F5" w14:textId="77777777" w:rsidTr="003F39C8">
        <w:trPr>
          <w:trHeight w:val="70"/>
        </w:trPr>
        <w:tc>
          <w:tcPr>
            <w:tcW w:w="4229" w:type="dxa"/>
            <w:shd w:val="clear" w:color="auto" w:fill="auto"/>
          </w:tcPr>
          <w:p w14:paraId="6B5CA973" w14:textId="77777777" w:rsidR="00F02990" w:rsidRPr="003F39C8" w:rsidRDefault="00F02990" w:rsidP="003F39C8">
            <w:pPr>
              <w:rPr>
                <w:rFonts w:asciiTheme="minorHAnsi" w:eastAsia="Calibri" w:hAnsiTheme="minorHAnsi" w:cstheme="minorHAnsi"/>
                <w:sz w:val="20"/>
                <w:szCs w:val="20"/>
              </w:rPr>
            </w:pPr>
            <w:r w:rsidRPr="003F39C8">
              <w:rPr>
                <w:rFonts w:asciiTheme="minorHAnsi" w:eastAsia="Calibri" w:hAnsiTheme="minorHAnsi" w:cstheme="minorHAnsi"/>
                <w:sz w:val="20"/>
                <w:szCs w:val="20"/>
              </w:rPr>
              <w:t>Outpatient Services</w:t>
            </w:r>
          </w:p>
        </w:tc>
        <w:tc>
          <w:tcPr>
            <w:tcW w:w="1440" w:type="dxa"/>
            <w:shd w:val="clear" w:color="auto" w:fill="auto"/>
          </w:tcPr>
          <w:p w14:paraId="5CDD7F8F"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0</w:t>
            </w:r>
          </w:p>
        </w:tc>
        <w:tc>
          <w:tcPr>
            <w:tcW w:w="1440" w:type="dxa"/>
            <w:shd w:val="clear" w:color="auto" w:fill="auto"/>
          </w:tcPr>
          <w:p w14:paraId="3873889C"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0</w:t>
            </w:r>
          </w:p>
        </w:tc>
        <w:tc>
          <w:tcPr>
            <w:tcW w:w="1441" w:type="dxa"/>
            <w:shd w:val="clear" w:color="auto" w:fill="auto"/>
          </w:tcPr>
          <w:p w14:paraId="434CA595"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40</w:t>
            </w:r>
          </w:p>
        </w:tc>
      </w:tr>
      <w:tr w:rsidR="003F39C8" w:rsidRPr="003F39C8" w14:paraId="1153BDC8" w14:textId="77777777" w:rsidTr="003F39C8">
        <w:trPr>
          <w:trHeight w:val="70"/>
        </w:trPr>
        <w:tc>
          <w:tcPr>
            <w:tcW w:w="4229" w:type="dxa"/>
            <w:shd w:val="clear" w:color="auto" w:fill="auto"/>
          </w:tcPr>
          <w:p w14:paraId="38FED23F" w14:textId="77777777" w:rsidR="00F02990" w:rsidRPr="003F39C8" w:rsidRDefault="00F02990" w:rsidP="003F39C8">
            <w:pPr>
              <w:rPr>
                <w:rFonts w:asciiTheme="minorHAnsi" w:eastAsia="Calibri" w:hAnsiTheme="minorHAnsi" w:cstheme="minorHAnsi"/>
                <w:sz w:val="20"/>
                <w:szCs w:val="20"/>
              </w:rPr>
            </w:pPr>
            <w:r w:rsidRPr="003F39C8">
              <w:rPr>
                <w:rFonts w:asciiTheme="minorHAnsi" w:eastAsia="Calibri" w:hAnsiTheme="minorHAnsi" w:cstheme="minorHAnsi"/>
                <w:sz w:val="20"/>
                <w:szCs w:val="20"/>
              </w:rPr>
              <w:t>SMVF (Veterans)</w:t>
            </w:r>
          </w:p>
        </w:tc>
        <w:tc>
          <w:tcPr>
            <w:tcW w:w="1440" w:type="dxa"/>
            <w:shd w:val="clear" w:color="auto" w:fill="auto"/>
          </w:tcPr>
          <w:p w14:paraId="22D498A0"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0</w:t>
            </w:r>
          </w:p>
        </w:tc>
        <w:tc>
          <w:tcPr>
            <w:tcW w:w="1440" w:type="dxa"/>
            <w:shd w:val="clear" w:color="auto" w:fill="auto"/>
          </w:tcPr>
          <w:p w14:paraId="50EFEE84"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40</w:t>
            </w:r>
          </w:p>
        </w:tc>
        <w:tc>
          <w:tcPr>
            <w:tcW w:w="1441" w:type="dxa"/>
            <w:shd w:val="clear" w:color="auto" w:fill="auto"/>
          </w:tcPr>
          <w:p w14:paraId="1F9E273B"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0</w:t>
            </w:r>
          </w:p>
        </w:tc>
      </w:tr>
      <w:tr w:rsidR="003F39C8" w:rsidRPr="003F39C8" w14:paraId="60C1EAE3" w14:textId="77777777" w:rsidTr="003F39C8">
        <w:trPr>
          <w:trHeight w:val="70"/>
        </w:trPr>
        <w:tc>
          <w:tcPr>
            <w:tcW w:w="4229" w:type="dxa"/>
            <w:shd w:val="clear" w:color="auto" w:fill="auto"/>
          </w:tcPr>
          <w:p w14:paraId="54A44FBC" w14:textId="77777777" w:rsidR="00F02990" w:rsidRPr="003F39C8" w:rsidRDefault="00F02990" w:rsidP="003F39C8">
            <w:pPr>
              <w:rPr>
                <w:rFonts w:asciiTheme="minorHAnsi" w:eastAsia="Calibri" w:hAnsiTheme="minorHAnsi" w:cstheme="minorHAnsi"/>
                <w:sz w:val="20"/>
                <w:szCs w:val="20"/>
              </w:rPr>
            </w:pPr>
            <w:r w:rsidRPr="003F39C8">
              <w:rPr>
                <w:rFonts w:asciiTheme="minorHAnsi" w:eastAsia="Calibri" w:hAnsiTheme="minorHAnsi" w:cstheme="minorHAnsi"/>
                <w:sz w:val="20"/>
                <w:szCs w:val="20"/>
              </w:rPr>
              <w:t>Peer and Family Supports</w:t>
            </w:r>
          </w:p>
        </w:tc>
        <w:tc>
          <w:tcPr>
            <w:tcW w:w="1440" w:type="dxa"/>
            <w:shd w:val="clear" w:color="auto" w:fill="auto"/>
          </w:tcPr>
          <w:p w14:paraId="3E93D456"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0</w:t>
            </w:r>
          </w:p>
        </w:tc>
        <w:tc>
          <w:tcPr>
            <w:tcW w:w="1440" w:type="dxa"/>
            <w:shd w:val="clear" w:color="auto" w:fill="auto"/>
          </w:tcPr>
          <w:p w14:paraId="4845B671"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40</w:t>
            </w:r>
          </w:p>
        </w:tc>
        <w:tc>
          <w:tcPr>
            <w:tcW w:w="1441" w:type="dxa"/>
            <w:shd w:val="clear" w:color="auto" w:fill="auto"/>
          </w:tcPr>
          <w:p w14:paraId="3574E6AA"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0</w:t>
            </w:r>
          </w:p>
        </w:tc>
      </w:tr>
      <w:tr w:rsidR="003F39C8" w:rsidRPr="003F39C8" w14:paraId="130C940D" w14:textId="77777777" w:rsidTr="003F39C8">
        <w:trPr>
          <w:trHeight w:val="70"/>
        </w:trPr>
        <w:tc>
          <w:tcPr>
            <w:tcW w:w="4229" w:type="dxa"/>
            <w:shd w:val="clear" w:color="auto" w:fill="auto"/>
          </w:tcPr>
          <w:p w14:paraId="0A5CEC39" w14:textId="77777777" w:rsidR="00F02990" w:rsidRPr="003F39C8" w:rsidRDefault="00F02990" w:rsidP="003F39C8">
            <w:pPr>
              <w:rPr>
                <w:rFonts w:asciiTheme="minorHAnsi" w:eastAsia="Calibri" w:hAnsiTheme="minorHAnsi" w:cstheme="minorHAnsi"/>
                <w:sz w:val="20"/>
                <w:szCs w:val="20"/>
              </w:rPr>
            </w:pPr>
            <w:r w:rsidRPr="003F39C8">
              <w:rPr>
                <w:rFonts w:asciiTheme="minorHAnsi" w:eastAsia="Calibri" w:hAnsiTheme="minorHAnsi" w:cstheme="minorHAnsi"/>
                <w:sz w:val="20"/>
                <w:szCs w:val="20"/>
              </w:rPr>
              <w:t>Case Management</w:t>
            </w:r>
          </w:p>
        </w:tc>
        <w:tc>
          <w:tcPr>
            <w:tcW w:w="1440" w:type="dxa"/>
            <w:shd w:val="clear" w:color="auto" w:fill="auto"/>
          </w:tcPr>
          <w:p w14:paraId="29DEED72"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40*</w:t>
            </w:r>
          </w:p>
        </w:tc>
        <w:tc>
          <w:tcPr>
            <w:tcW w:w="1440" w:type="dxa"/>
            <w:shd w:val="clear" w:color="auto" w:fill="auto"/>
          </w:tcPr>
          <w:p w14:paraId="684804BB"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0</w:t>
            </w:r>
          </w:p>
        </w:tc>
        <w:tc>
          <w:tcPr>
            <w:tcW w:w="1441" w:type="dxa"/>
            <w:shd w:val="clear" w:color="auto" w:fill="auto"/>
          </w:tcPr>
          <w:p w14:paraId="2DEA5D5D"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0</w:t>
            </w:r>
          </w:p>
        </w:tc>
      </w:tr>
      <w:tr w:rsidR="003F39C8" w:rsidRPr="003F39C8" w14:paraId="64042A5A" w14:textId="77777777" w:rsidTr="003F39C8">
        <w:trPr>
          <w:trHeight w:val="70"/>
        </w:trPr>
        <w:tc>
          <w:tcPr>
            <w:tcW w:w="4229" w:type="dxa"/>
            <w:shd w:val="clear" w:color="auto" w:fill="auto"/>
          </w:tcPr>
          <w:p w14:paraId="64987356" w14:textId="77777777" w:rsidR="00F02990" w:rsidRPr="003F39C8" w:rsidRDefault="00F02990" w:rsidP="003F39C8">
            <w:pPr>
              <w:rPr>
                <w:rFonts w:asciiTheme="minorHAnsi" w:eastAsia="Calibri" w:hAnsiTheme="minorHAnsi" w:cstheme="minorHAnsi"/>
                <w:sz w:val="20"/>
                <w:szCs w:val="20"/>
              </w:rPr>
            </w:pPr>
            <w:r w:rsidRPr="003F39C8">
              <w:rPr>
                <w:rFonts w:asciiTheme="minorHAnsi" w:eastAsia="Calibri" w:hAnsiTheme="minorHAnsi" w:cstheme="minorHAnsi"/>
                <w:sz w:val="20"/>
                <w:szCs w:val="20"/>
              </w:rPr>
              <w:t>Psychiatric Rehabilitation</w:t>
            </w:r>
          </w:p>
        </w:tc>
        <w:tc>
          <w:tcPr>
            <w:tcW w:w="1440" w:type="dxa"/>
            <w:shd w:val="clear" w:color="auto" w:fill="auto"/>
          </w:tcPr>
          <w:p w14:paraId="478DA86C"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40*</w:t>
            </w:r>
          </w:p>
        </w:tc>
        <w:tc>
          <w:tcPr>
            <w:tcW w:w="1440" w:type="dxa"/>
            <w:shd w:val="clear" w:color="auto" w:fill="auto"/>
          </w:tcPr>
          <w:p w14:paraId="20830C94"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0</w:t>
            </w:r>
          </w:p>
        </w:tc>
        <w:tc>
          <w:tcPr>
            <w:tcW w:w="1441" w:type="dxa"/>
            <w:shd w:val="clear" w:color="auto" w:fill="auto"/>
          </w:tcPr>
          <w:p w14:paraId="5E865F55"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0</w:t>
            </w:r>
          </w:p>
        </w:tc>
      </w:tr>
      <w:tr w:rsidR="003F39C8" w:rsidRPr="003F39C8" w14:paraId="73C8E993" w14:textId="77777777" w:rsidTr="003F39C8">
        <w:trPr>
          <w:trHeight w:val="70"/>
        </w:trPr>
        <w:tc>
          <w:tcPr>
            <w:tcW w:w="4229" w:type="dxa"/>
            <w:shd w:val="clear" w:color="auto" w:fill="auto"/>
          </w:tcPr>
          <w:p w14:paraId="0ED99CCF" w14:textId="77777777" w:rsidR="00F02990" w:rsidRPr="003F39C8" w:rsidRDefault="00F02990" w:rsidP="003F39C8">
            <w:pPr>
              <w:rPr>
                <w:rFonts w:asciiTheme="minorHAnsi" w:eastAsia="Calibri" w:hAnsiTheme="minorHAnsi" w:cstheme="minorHAnsi"/>
                <w:sz w:val="20"/>
                <w:szCs w:val="20"/>
              </w:rPr>
            </w:pPr>
            <w:r w:rsidRPr="003F39C8">
              <w:rPr>
                <w:rFonts w:asciiTheme="minorHAnsi" w:eastAsia="Calibri" w:hAnsiTheme="minorHAnsi" w:cstheme="minorHAnsi"/>
                <w:sz w:val="20"/>
                <w:szCs w:val="20"/>
              </w:rPr>
              <w:t>Care Coordination</w:t>
            </w:r>
          </w:p>
        </w:tc>
        <w:tc>
          <w:tcPr>
            <w:tcW w:w="1440" w:type="dxa"/>
            <w:shd w:val="clear" w:color="auto" w:fill="auto"/>
          </w:tcPr>
          <w:p w14:paraId="4D616A12"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40*</w:t>
            </w:r>
          </w:p>
        </w:tc>
        <w:tc>
          <w:tcPr>
            <w:tcW w:w="1440" w:type="dxa"/>
            <w:shd w:val="clear" w:color="auto" w:fill="auto"/>
          </w:tcPr>
          <w:p w14:paraId="2D2F0936"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0</w:t>
            </w:r>
          </w:p>
        </w:tc>
        <w:tc>
          <w:tcPr>
            <w:tcW w:w="1441" w:type="dxa"/>
            <w:shd w:val="clear" w:color="auto" w:fill="auto"/>
          </w:tcPr>
          <w:p w14:paraId="008119D6" w14:textId="77777777" w:rsidR="00F02990" w:rsidRPr="003F39C8" w:rsidRDefault="00F02990" w:rsidP="003F39C8">
            <w:pPr>
              <w:jc w:val="right"/>
              <w:rPr>
                <w:rFonts w:asciiTheme="minorHAnsi" w:eastAsia="Calibri" w:hAnsiTheme="minorHAnsi" w:cstheme="minorHAnsi"/>
                <w:sz w:val="20"/>
                <w:szCs w:val="20"/>
              </w:rPr>
            </w:pPr>
            <w:r w:rsidRPr="003F39C8">
              <w:rPr>
                <w:rFonts w:asciiTheme="minorHAnsi" w:eastAsia="Calibri" w:hAnsiTheme="minorHAnsi" w:cstheme="minorHAnsi"/>
                <w:sz w:val="20"/>
                <w:szCs w:val="20"/>
              </w:rPr>
              <w:t>0</w:t>
            </w:r>
          </w:p>
        </w:tc>
      </w:tr>
    </w:tbl>
    <w:p w14:paraId="7DB5AD80" w14:textId="766E2F4B" w:rsidR="00F02990" w:rsidRPr="003F39C8" w:rsidRDefault="00F02990" w:rsidP="003F39C8">
      <w:pPr>
        <w:pStyle w:val="NoSpacing"/>
        <w:ind w:left="540"/>
        <w:rPr>
          <w:rFonts w:ascii="Times New Roman" w:hAnsi="Times New Roman"/>
          <w:i/>
          <w:iCs/>
          <w:sz w:val="20"/>
          <w:szCs w:val="20"/>
        </w:rPr>
      </w:pPr>
      <w:r w:rsidRPr="003F39C8">
        <w:rPr>
          <w:rFonts w:ascii="Times New Roman" w:hAnsi="Times New Roman"/>
          <w:i/>
          <w:iCs/>
          <w:sz w:val="20"/>
          <w:szCs w:val="20"/>
        </w:rPr>
        <w:t>*</w:t>
      </w:r>
      <w:proofErr w:type="gramStart"/>
      <w:r w:rsidRPr="003F39C8">
        <w:rPr>
          <w:rFonts w:ascii="Times New Roman" w:hAnsi="Times New Roman"/>
          <w:i/>
          <w:iCs/>
          <w:sz w:val="20"/>
          <w:szCs w:val="20"/>
        </w:rPr>
        <w:t>most</w:t>
      </w:r>
      <w:proofErr w:type="gramEnd"/>
      <w:r w:rsidRPr="003F39C8">
        <w:rPr>
          <w:rFonts w:ascii="Times New Roman" w:hAnsi="Times New Roman"/>
          <w:i/>
          <w:iCs/>
          <w:sz w:val="20"/>
          <w:szCs w:val="20"/>
        </w:rPr>
        <w:t xml:space="preserve"> CSBs provide these services, but </w:t>
      </w:r>
      <w:r w:rsidR="003F39C8" w:rsidRPr="003F39C8">
        <w:rPr>
          <w:rFonts w:ascii="Times New Roman" w:hAnsi="Times New Roman"/>
          <w:i/>
          <w:iCs/>
          <w:sz w:val="20"/>
          <w:szCs w:val="20"/>
        </w:rPr>
        <w:t xml:space="preserve">implementation has not yet been measured in a standardized way because </w:t>
      </w:r>
      <w:r w:rsidRPr="003F39C8">
        <w:rPr>
          <w:rFonts w:ascii="Times New Roman" w:hAnsi="Times New Roman"/>
          <w:i/>
          <w:iCs/>
          <w:sz w:val="20"/>
          <w:szCs w:val="20"/>
        </w:rPr>
        <w:t xml:space="preserve">funding </w:t>
      </w:r>
      <w:r w:rsidR="003F39C8" w:rsidRPr="003F39C8">
        <w:rPr>
          <w:rFonts w:ascii="Times New Roman" w:hAnsi="Times New Roman"/>
          <w:i/>
          <w:iCs/>
          <w:sz w:val="20"/>
          <w:szCs w:val="20"/>
        </w:rPr>
        <w:t xml:space="preserve">only </w:t>
      </w:r>
      <w:r w:rsidRPr="003F39C8">
        <w:rPr>
          <w:rFonts w:ascii="Times New Roman" w:hAnsi="Times New Roman"/>
          <w:i/>
          <w:iCs/>
          <w:sz w:val="20"/>
          <w:szCs w:val="20"/>
        </w:rPr>
        <w:t>began July 1, 2022.</w:t>
      </w:r>
    </w:p>
    <w:p w14:paraId="3DCE120B" w14:textId="77777777" w:rsidR="00F02990" w:rsidRPr="00D15731" w:rsidRDefault="00F02990" w:rsidP="00F02990">
      <w:pPr>
        <w:pStyle w:val="NoSpacing"/>
        <w:rPr>
          <w:rFonts w:ascii="Times New Roman" w:hAnsi="Times New Roman"/>
          <w:sz w:val="24"/>
          <w:szCs w:val="24"/>
        </w:rPr>
      </w:pPr>
    </w:p>
    <w:p w14:paraId="3881888E" w14:textId="77777777" w:rsidR="00427D5D" w:rsidRPr="00F4298E" w:rsidRDefault="00427D5D" w:rsidP="00F46923">
      <w:pPr>
        <w:rPr>
          <w:rFonts w:eastAsia="Calibri"/>
          <w:sz w:val="26"/>
          <w:szCs w:val="26"/>
        </w:rPr>
      </w:pPr>
      <w:bookmarkStart w:id="7" w:name="Developmental_Community_Services"/>
      <w:r w:rsidRPr="00F4298E">
        <w:rPr>
          <w:b/>
          <w:bCs/>
          <w:i/>
          <w:iCs/>
          <w:color w:val="000000" w:themeColor="text1"/>
          <w:sz w:val="26"/>
          <w:szCs w:val="26"/>
        </w:rPr>
        <w:t>Community Adult Behavioral Health Services</w:t>
      </w:r>
    </w:p>
    <w:p w14:paraId="500C05EB" w14:textId="112BF9B8" w:rsidR="00427D5D" w:rsidRPr="00D15731" w:rsidRDefault="00EE36CD" w:rsidP="009054AA">
      <w:pPr>
        <w:pStyle w:val="ListParagraph"/>
        <w:numPr>
          <w:ilvl w:val="0"/>
          <w:numId w:val="20"/>
        </w:numPr>
        <w:spacing w:line="240" w:lineRule="auto"/>
        <w:ind w:left="540"/>
        <w:rPr>
          <w:rFonts w:ascii="Times New Roman" w:eastAsia="Times New Roman" w:hAnsi="Times New Roman"/>
          <w:color w:val="000000" w:themeColor="text1"/>
          <w:sz w:val="24"/>
          <w:szCs w:val="24"/>
        </w:rPr>
      </w:pPr>
      <w:r w:rsidRPr="00D15731">
        <w:rPr>
          <w:rFonts w:ascii="Times New Roman" w:eastAsia="Times New Roman" w:hAnsi="Times New Roman"/>
          <w:color w:val="000000" w:themeColor="text1"/>
          <w:sz w:val="24"/>
          <w:szCs w:val="24"/>
        </w:rPr>
        <w:lastRenderedPageBreak/>
        <w:t xml:space="preserve">Coordinated Specialty Care (CSC) </w:t>
      </w:r>
      <w:r>
        <w:rPr>
          <w:rFonts w:ascii="Times New Roman" w:eastAsia="Times New Roman" w:hAnsi="Times New Roman"/>
          <w:color w:val="000000" w:themeColor="text1"/>
          <w:sz w:val="24"/>
          <w:szCs w:val="24"/>
        </w:rPr>
        <w:t xml:space="preserve">– </w:t>
      </w:r>
      <w:r w:rsidR="00427D5D" w:rsidRPr="00D15731">
        <w:rPr>
          <w:rFonts w:ascii="Times New Roman" w:eastAsia="Times New Roman" w:hAnsi="Times New Roman"/>
          <w:color w:val="000000" w:themeColor="text1"/>
          <w:sz w:val="24"/>
          <w:szCs w:val="24"/>
        </w:rPr>
        <w:t xml:space="preserve">Three new CSC programs were added to Virginia’s behavioral healthcare system, bringing the total number of CSBs offering this service to 10. CSC is a team-based, collaborative, recovery-oriented treatment model that emphasizes outreach to identify and engage young people experiencing a first episode of psychosis (FEP) into youth-specific treatment which can include low-dosage medications, cognitive and behavioral skills training, supported employment and supported education, case management, and family psychoeducation. CSC also emphasizes shared decision-making </w:t>
      </w:r>
      <w:proofErr w:type="gramStart"/>
      <w:r w:rsidR="00427D5D" w:rsidRPr="00D15731">
        <w:rPr>
          <w:rFonts w:ascii="Times New Roman" w:eastAsia="Times New Roman" w:hAnsi="Times New Roman"/>
          <w:color w:val="000000" w:themeColor="text1"/>
          <w:sz w:val="24"/>
          <w:szCs w:val="24"/>
        </w:rPr>
        <w:t>as a means to</w:t>
      </w:r>
      <w:proofErr w:type="gramEnd"/>
      <w:r w:rsidR="00427D5D" w:rsidRPr="00D15731">
        <w:rPr>
          <w:rFonts w:ascii="Times New Roman" w:eastAsia="Times New Roman" w:hAnsi="Times New Roman"/>
          <w:color w:val="000000" w:themeColor="text1"/>
          <w:sz w:val="24"/>
          <w:szCs w:val="24"/>
        </w:rPr>
        <w:t xml:space="preserve"> address the unique needs, preferences, and recovery goals of young people with FEP.</w:t>
      </w:r>
    </w:p>
    <w:p w14:paraId="784BD70B" w14:textId="5A176EDD" w:rsidR="00427D5D" w:rsidRPr="00D15731" w:rsidRDefault="00EE36CD" w:rsidP="009054AA">
      <w:pPr>
        <w:pStyle w:val="ListParagraph"/>
        <w:numPr>
          <w:ilvl w:val="0"/>
          <w:numId w:val="20"/>
        </w:numPr>
        <w:spacing w:line="240" w:lineRule="auto"/>
        <w:ind w:left="540"/>
        <w:rPr>
          <w:rFonts w:ascii="Times New Roman" w:eastAsia="Times New Roman" w:hAnsi="Times New Roman"/>
          <w:color w:val="000000" w:themeColor="text1"/>
          <w:sz w:val="24"/>
          <w:szCs w:val="24"/>
        </w:rPr>
      </w:pPr>
      <w:r w:rsidRPr="00D15731">
        <w:rPr>
          <w:rFonts w:ascii="Times New Roman" w:eastAsia="Times New Roman" w:hAnsi="Times New Roman"/>
          <w:color w:val="000000" w:themeColor="text1"/>
          <w:sz w:val="24"/>
          <w:szCs w:val="24"/>
        </w:rPr>
        <w:t>Assertive Community Treatment (ACT)</w:t>
      </w:r>
      <w:r>
        <w:rPr>
          <w:rFonts w:ascii="Times New Roman" w:eastAsia="Times New Roman" w:hAnsi="Times New Roman"/>
          <w:color w:val="000000" w:themeColor="text1"/>
          <w:sz w:val="24"/>
          <w:szCs w:val="24"/>
        </w:rPr>
        <w:t xml:space="preserve"> – </w:t>
      </w:r>
      <w:r w:rsidR="00262CAA">
        <w:rPr>
          <w:rFonts w:ascii="Times New Roman" w:eastAsia="Times New Roman" w:hAnsi="Times New Roman"/>
          <w:color w:val="000000" w:themeColor="text1"/>
          <w:sz w:val="24"/>
          <w:szCs w:val="24"/>
        </w:rPr>
        <w:t>In FY 2022, r</w:t>
      </w:r>
      <w:r w:rsidR="00427D5D" w:rsidRPr="00D15731">
        <w:rPr>
          <w:rFonts w:ascii="Times New Roman" w:eastAsia="Times New Roman" w:hAnsi="Times New Roman"/>
          <w:color w:val="000000" w:themeColor="text1"/>
          <w:sz w:val="24"/>
          <w:szCs w:val="24"/>
        </w:rPr>
        <w:t>eported the following findings from a two-year pre/post study for ACT:</w:t>
      </w:r>
    </w:p>
    <w:p w14:paraId="1085B690" w14:textId="4DA69578" w:rsidR="00427D5D" w:rsidRPr="00262CAA" w:rsidRDefault="00427D5D" w:rsidP="009054AA">
      <w:pPr>
        <w:pStyle w:val="ListParagraph"/>
        <w:numPr>
          <w:ilvl w:val="1"/>
          <w:numId w:val="65"/>
        </w:numPr>
        <w:spacing w:line="240" w:lineRule="auto"/>
        <w:ind w:left="1080"/>
        <w:rPr>
          <w:rFonts w:ascii="Times New Roman" w:eastAsia="Times New Roman" w:hAnsi="Times New Roman"/>
          <w:sz w:val="24"/>
          <w:szCs w:val="24"/>
        </w:rPr>
      </w:pPr>
      <w:r w:rsidRPr="00262CAA">
        <w:rPr>
          <w:rFonts w:ascii="Times New Roman" w:eastAsia="Times New Roman" w:hAnsi="Times New Roman"/>
          <w:sz w:val="24"/>
          <w:szCs w:val="24"/>
        </w:rPr>
        <w:t xml:space="preserve">The average cost per individual served by ACT teams across </w:t>
      </w:r>
      <w:r w:rsidR="00262CAA">
        <w:rPr>
          <w:rFonts w:ascii="Times New Roman" w:eastAsia="Times New Roman" w:hAnsi="Times New Roman"/>
          <w:sz w:val="24"/>
          <w:szCs w:val="24"/>
        </w:rPr>
        <w:t>Virginia</w:t>
      </w:r>
      <w:r w:rsidRPr="00262CAA">
        <w:rPr>
          <w:rFonts w:ascii="Times New Roman" w:eastAsia="Times New Roman" w:hAnsi="Times New Roman"/>
          <w:sz w:val="24"/>
          <w:szCs w:val="24"/>
        </w:rPr>
        <w:t xml:space="preserve"> in FY</w:t>
      </w:r>
      <w:r w:rsidR="00262CAA">
        <w:rPr>
          <w:rFonts w:ascii="Times New Roman" w:eastAsia="Times New Roman" w:hAnsi="Times New Roman"/>
          <w:sz w:val="24"/>
          <w:szCs w:val="24"/>
        </w:rPr>
        <w:t xml:space="preserve"> 20</w:t>
      </w:r>
      <w:r w:rsidRPr="00262CAA">
        <w:rPr>
          <w:rFonts w:ascii="Times New Roman" w:eastAsia="Times New Roman" w:hAnsi="Times New Roman"/>
          <w:sz w:val="24"/>
          <w:szCs w:val="24"/>
        </w:rPr>
        <w:t>21 was $14,458, representing a consistent trend with the previous fiscal year.</w:t>
      </w:r>
    </w:p>
    <w:p w14:paraId="74B965A3" w14:textId="26F9E2F5" w:rsidR="00427D5D" w:rsidRPr="00262CAA" w:rsidRDefault="00427D5D" w:rsidP="009054AA">
      <w:pPr>
        <w:pStyle w:val="ListParagraph"/>
        <w:numPr>
          <w:ilvl w:val="1"/>
          <w:numId w:val="65"/>
        </w:numPr>
        <w:spacing w:after="160" w:line="240" w:lineRule="auto"/>
        <w:ind w:left="1080"/>
        <w:rPr>
          <w:rFonts w:ascii="Times New Roman" w:eastAsia="Times New Roman" w:hAnsi="Times New Roman"/>
          <w:sz w:val="24"/>
          <w:szCs w:val="24"/>
        </w:rPr>
      </w:pPr>
      <w:r w:rsidRPr="00262CAA">
        <w:rPr>
          <w:rFonts w:ascii="Times New Roman" w:eastAsia="Times New Roman" w:hAnsi="Times New Roman"/>
          <w:sz w:val="24"/>
          <w:szCs w:val="24"/>
        </w:rPr>
        <w:t>State hospitalization usage for all ACT served individuals admitted in FY</w:t>
      </w:r>
      <w:r w:rsidR="00262CAA">
        <w:rPr>
          <w:rFonts w:ascii="Times New Roman" w:eastAsia="Times New Roman" w:hAnsi="Times New Roman"/>
          <w:sz w:val="24"/>
          <w:szCs w:val="24"/>
        </w:rPr>
        <w:t xml:space="preserve"> 20</w:t>
      </w:r>
      <w:r w:rsidRPr="00262CAA">
        <w:rPr>
          <w:rFonts w:ascii="Times New Roman" w:eastAsia="Times New Roman" w:hAnsi="Times New Roman"/>
          <w:sz w:val="24"/>
          <w:szCs w:val="24"/>
        </w:rPr>
        <w:t>19 was reduced by 51</w:t>
      </w:r>
      <w:r w:rsidR="00262CAA">
        <w:rPr>
          <w:rFonts w:ascii="Times New Roman" w:eastAsia="Times New Roman" w:hAnsi="Times New Roman"/>
          <w:sz w:val="24"/>
          <w:szCs w:val="24"/>
        </w:rPr>
        <w:t xml:space="preserve"> percent</w:t>
      </w:r>
      <w:r w:rsidRPr="00262CAA">
        <w:rPr>
          <w:rFonts w:ascii="Times New Roman" w:eastAsia="Times New Roman" w:hAnsi="Times New Roman"/>
          <w:sz w:val="24"/>
          <w:szCs w:val="24"/>
        </w:rPr>
        <w:t xml:space="preserve">, representing a cost avoidance of $14,294,084 </w:t>
      </w:r>
      <w:r w:rsidR="00262CAA">
        <w:rPr>
          <w:rFonts w:ascii="Times New Roman" w:eastAsia="Times New Roman" w:hAnsi="Times New Roman"/>
          <w:sz w:val="24"/>
          <w:szCs w:val="24"/>
        </w:rPr>
        <w:t>for</w:t>
      </w:r>
      <w:r w:rsidRPr="00262CAA">
        <w:rPr>
          <w:rFonts w:ascii="Times New Roman" w:eastAsia="Times New Roman" w:hAnsi="Times New Roman"/>
          <w:sz w:val="24"/>
          <w:szCs w:val="24"/>
        </w:rPr>
        <w:t xml:space="preserve"> this population. </w:t>
      </w:r>
    </w:p>
    <w:p w14:paraId="077D0851" w14:textId="098A0270" w:rsidR="00427D5D" w:rsidRPr="00262CAA" w:rsidRDefault="00427D5D" w:rsidP="009054AA">
      <w:pPr>
        <w:pStyle w:val="ListParagraph"/>
        <w:numPr>
          <w:ilvl w:val="1"/>
          <w:numId w:val="65"/>
        </w:numPr>
        <w:spacing w:after="160" w:line="240" w:lineRule="auto"/>
        <w:ind w:left="1080"/>
        <w:rPr>
          <w:rFonts w:ascii="Times New Roman" w:eastAsia="Times New Roman" w:hAnsi="Times New Roman"/>
          <w:sz w:val="24"/>
          <w:szCs w:val="24"/>
        </w:rPr>
      </w:pPr>
      <w:r w:rsidRPr="00262CAA">
        <w:rPr>
          <w:rFonts w:ascii="Times New Roman" w:eastAsia="Times New Roman" w:hAnsi="Times New Roman"/>
          <w:sz w:val="24"/>
          <w:szCs w:val="24"/>
        </w:rPr>
        <w:t>All new FY</w:t>
      </w:r>
      <w:r w:rsidR="00262CAA">
        <w:rPr>
          <w:rFonts w:ascii="Times New Roman" w:eastAsia="Times New Roman" w:hAnsi="Times New Roman"/>
          <w:sz w:val="24"/>
          <w:szCs w:val="24"/>
        </w:rPr>
        <w:t xml:space="preserve"> 20</w:t>
      </w:r>
      <w:r w:rsidRPr="00262CAA">
        <w:rPr>
          <w:rFonts w:ascii="Times New Roman" w:eastAsia="Times New Roman" w:hAnsi="Times New Roman"/>
          <w:sz w:val="24"/>
          <w:szCs w:val="24"/>
        </w:rPr>
        <w:t xml:space="preserve">19 ACT served individuals accounted for 29,669 state hospital bed days in the two years prior to their ACT admission, and just 14,499 in the two years </w:t>
      </w:r>
      <w:r w:rsidR="00262CAA">
        <w:rPr>
          <w:rFonts w:ascii="Times New Roman" w:eastAsia="Times New Roman" w:hAnsi="Times New Roman"/>
          <w:sz w:val="24"/>
          <w:szCs w:val="24"/>
        </w:rPr>
        <w:t>after</w:t>
      </w:r>
      <w:r w:rsidRPr="00262CAA">
        <w:rPr>
          <w:rFonts w:ascii="Times New Roman" w:eastAsia="Times New Roman" w:hAnsi="Times New Roman"/>
          <w:sz w:val="24"/>
          <w:szCs w:val="24"/>
        </w:rPr>
        <w:t xml:space="preserve"> their ACT admission.</w:t>
      </w:r>
    </w:p>
    <w:p w14:paraId="62B4C6B1" w14:textId="194125B6" w:rsidR="00427D5D" w:rsidRPr="00262CAA" w:rsidRDefault="00427D5D" w:rsidP="009054AA">
      <w:pPr>
        <w:pStyle w:val="ListParagraph"/>
        <w:numPr>
          <w:ilvl w:val="1"/>
          <w:numId w:val="65"/>
        </w:numPr>
        <w:spacing w:after="160" w:line="240" w:lineRule="auto"/>
        <w:ind w:left="1080"/>
        <w:rPr>
          <w:rFonts w:ascii="Times New Roman" w:eastAsia="Times New Roman" w:hAnsi="Times New Roman"/>
          <w:sz w:val="24"/>
          <w:szCs w:val="24"/>
        </w:rPr>
      </w:pPr>
      <w:r w:rsidRPr="00262CAA">
        <w:rPr>
          <w:rFonts w:ascii="Times New Roman" w:eastAsia="Times New Roman" w:hAnsi="Times New Roman"/>
          <w:sz w:val="24"/>
          <w:szCs w:val="24"/>
        </w:rPr>
        <w:t>Across the FY</w:t>
      </w:r>
      <w:r w:rsidR="00262CAA">
        <w:rPr>
          <w:rFonts w:ascii="Times New Roman" w:eastAsia="Times New Roman" w:hAnsi="Times New Roman"/>
          <w:sz w:val="24"/>
          <w:szCs w:val="24"/>
        </w:rPr>
        <w:t xml:space="preserve"> 20</w:t>
      </w:r>
      <w:r w:rsidRPr="00262CAA">
        <w:rPr>
          <w:rFonts w:ascii="Times New Roman" w:eastAsia="Times New Roman" w:hAnsi="Times New Roman"/>
          <w:sz w:val="24"/>
          <w:szCs w:val="24"/>
        </w:rPr>
        <w:t>16, FY</w:t>
      </w:r>
      <w:r w:rsidR="00262CAA">
        <w:rPr>
          <w:rFonts w:ascii="Times New Roman" w:eastAsia="Times New Roman" w:hAnsi="Times New Roman"/>
          <w:sz w:val="24"/>
          <w:szCs w:val="24"/>
        </w:rPr>
        <w:t xml:space="preserve"> 20</w:t>
      </w:r>
      <w:r w:rsidRPr="00262CAA">
        <w:rPr>
          <w:rFonts w:ascii="Times New Roman" w:eastAsia="Times New Roman" w:hAnsi="Times New Roman"/>
          <w:sz w:val="24"/>
          <w:szCs w:val="24"/>
        </w:rPr>
        <w:t>17, FY</w:t>
      </w:r>
      <w:r w:rsidR="00262CAA">
        <w:rPr>
          <w:rFonts w:ascii="Times New Roman" w:eastAsia="Times New Roman" w:hAnsi="Times New Roman"/>
          <w:sz w:val="24"/>
          <w:szCs w:val="24"/>
        </w:rPr>
        <w:t xml:space="preserve"> 20</w:t>
      </w:r>
      <w:r w:rsidRPr="00262CAA">
        <w:rPr>
          <w:rFonts w:ascii="Times New Roman" w:eastAsia="Times New Roman" w:hAnsi="Times New Roman"/>
          <w:sz w:val="24"/>
          <w:szCs w:val="24"/>
        </w:rPr>
        <w:t>18, and FY</w:t>
      </w:r>
      <w:r w:rsidR="00262CAA">
        <w:rPr>
          <w:rFonts w:ascii="Times New Roman" w:eastAsia="Times New Roman" w:hAnsi="Times New Roman"/>
          <w:sz w:val="24"/>
          <w:szCs w:val="24"/>
        </w:rPr>
        <w:t xml:space="preserve"> 20</w:t>
      </w:r>
      <w:r w:rsidRPr="00262CAA">
        <w:rPr>
          <w:rFonts w:ascii="Times New Roman" w:eastAsia="Times New Roman" w:hAnsi="Times New Roman"/>
          <w:sz w:val="24"/>
          <w:szCs w:val="24"/>
        </w:rPr>
        <w:t>19 cohorts, the ACT program contributed to an overall cost avoidance of $43,580,170</w:t>
      </w:r>
      <w:r w:rsidRPr="00262CAA">
        <w:rPr>
          <w:rFonts w:ascii="Times New Roman" w:eastAsia="Times New Roman" w:hAnsi="Times New Roman"/>
          <w:b/>
          <w:bCs/>
          <w:sz w:val="24"/>
          <w:szCs w:val="24"/>
        </w:rPr>
        <w:t xml:space="preserve"> </w:t>
      </w:r>
      <w:r w:rsidRPr="00262CAA">
        <w:rPr>
          <w:rFonts w:ascii="Times New Roman" w:eastAsia="Times New Roman" w:hAnsi="Times New Roman"/>
          <w:sz w:val="24"/>
          <w:szCs w:val="24"/>
        </w:rPr>
        <w:t>in state hospital costs in the two years following initiation of ACT services.</w:t>
      </w:r>
    </w:p>
    <w:p w14:paraId="4C376824" w14:textId="1F8DDFF7" w:rsidR="00427D5D" w:rsidRPr="00262CAA" w:rsidRDefault="00427D5D" w:rsidP="009054AA">
      <w:pPr>
        <w:pStyle w:val="ListParagraph"/>
        <w:numPr>
          <w:ilvl w:val="1"/>
          <w:numId w:val="65"/>
        </w:numPr>
        <w:spacing w:after="160" w:line="240" w:lineRule="auto"/>
        <w:ind w:left="1080"/>
        <w:rPr>
          <w:rFonts w:ascii="Times New Roman" w:eastAsia="Times New Roman" w:hAnsi="Times New Roman"/>
          <w:sz w:val="24"/>
          <w:szCs w:val="24"/>
        </w:rPr>
      </w:pPr>
      <w:r w:rsidRPr="00262CAA">
        <w:rPr>
          <w:rFonts w:ascii="Times New Roman" w:eastAsia="Times New Roman" w:hAnsi="Times New Roman"/>
          <w:sz w:val="24"/>
          <w:szCs w:val="24"/>
        </w:rPr>
        <w:t xml:space="preserve">Local psychiatric hospitalization </w:t>
      </w:r>
      <w:proofErr w:type="gramStart"/>
      <w:r w:rsidRPr="00262CAA">
        <w:rPr>
          <w:rFonts w:ascii="Times New Roman" w:eastAsia="Times New Roman" w:hAnsi="Times New Roman"/>
          <w:sz w:val="24"/>
          <w:szCs w:val="24"/>
        </w:rPr>
        <w:t>use</w:t>
      </w:r>
      <w:proofErr w:type="gramEnd"/>
      <w:r w:rsidRPr="00262CAA">
        <w:rPr>
          <w:rFonts w:ascii="Times New Roman" w:eastAsia="Times New Roman" w:hAnsi="Times New Roman"/>
          <w:sz w:val="24"/>
          <w:szCs w:val="24"/>
        </w:rPr>
        <w:t xml:space="preserve"> for all ACT served individuals admitted in FY</w:t>
      </w:r>
      <w:r w:rsidR="00262CAA">
        <w:rPr>
          <w:rFonts w:ascii="Times New Roman" w:eastAsia="Times New Roman" w:hAnsi="Times New Roman"/>
          <w:sz w:val="24"/>
          <w:szCs w:val="24"/>
        </w:rPr>
        <w:t xml:space="preserve"> 20</w:t>
      </w:r>
      <w:r w:rsidRPr="00262CAA">
        <w:rPr>
          <w:rFonts w:ascii="Times New Roman" w:eastAsia="Times New Roman" w:hAnsi="Times New Roman"/>
          <w:sz w:val="24"/>
          <w:szCs w:val="24"/>
        </w:rPr>
        <w:t>19 had a 51</w:t>
      </w:r>
      <w:r w:rsidR="00262CAA">
        <w:rPr>
          <w:rFonts w:ascii="Times New Roman" w:eastAsia="Times New Roman" w:hAnsi="Times New Roman"/>
          <w:sz w:val="24"/>
          <w:szCs w:val="24"/>
        </w:rPr>
        <w:t xml:space="preserve"> percent</w:t>
      </w:r>
      <w:r w:rsidRPr="00262CAA">
        <w:rPr>
          <w:rFonts w:ascii="Times New Roman" w:eastAsia="Times New Roman" w:hAnsi="Times New Roman"/>
          <w:sz w:val="24"/>
          <w:szCs w:val="24"/>
        </w:rPr>
        <w:t xml:space="preserve"> reduction, which represents a cost avoidance of $3,945,553 related to this population. </w:t>
      </w:r>
    </w:p>
    <w:p w14:paraId="04A2FFE1" w14:textId="75F706AE" w:rsidR="00427D5D" w:rsidRPr="00262CAA" w:rsidRDefault="00427D5D" w:rsidP="009054AA">
      <w:pPr>
        <w:pStyle w:val="ListParagraph"/>
        <w:numPr>
          <w:ilvl w:val="1"/>
          <w:numId w:val="65"/>
        </w:numPr>
        <w:spacing w:after="160" w:line="240" w:lineRule="auto"/>
        <w:ind w:left="1080"/>
        <w:rPr>
          <w:rFonts w:ascii="Times New Roman" w:eastAsia="Times New Roman" w:hAnsi="Times New Roman"/>
          <w:sz w:val="24"/>
          <w:szCs w:val="24"/>
        </w:rPr>
      </w:pPr>
      <w:r w:rsidRPr="00262CAA">
        <w:rPr>
          <w:rFonts w:ascii="Times New Roman" w:eastAsia="Times New Roman" w:hAnsi="Times New Roman"/>
          <w:sz w:val="24"/>
          <w:szCs w:val="24"/>
        </w:rPr>
        <w:t>All new FY</w:t>
      </w:r>
      <w:r w:rsidR="00262CAA">
        <w:rPr>
          <w:rFonts w:ascii="Times New Roman" w:eastAsia="Times New Roman" w:hAnsi="Times New Roman"/>
          <w:sz w:val="24"/>
          <w:szCs w:val="24"/>
        </w:rPr>
        <w:t xml:space="preserve"> 20</w:t>
      </w:r>
      <w:r w:rsidRPr="00262CAA">
        <w:rPr>
          <w:rFonts w:ascii="Times New Roman" w:eastAsia="Times New Roman" w:hAnsi="Times New Roman"/>
          <w:sz w:val="24"/>
          <w:szCs w:val="24"/>
        </w:rPr>
        <w:t>19 ACT served individuals accounted for 9,904 local hospital psychiatric bed days in the two years prior to ACT admission, and just 4,886 in the two years post ACT admission.</w:t>
      </w:r>
    </w:p>
    <w:p w14:paraId="7C3F0332" w14:textId="7E9AF3FA" w:rsidR="00427D5D" w:rsidRPr="00262CAA" w:rsidRDefault="00427D5D" w:rsidP="009054AA">
      <w:pPr>
        <w:pStyle w:val="ListParagraph"/>
        <w:numPr>
          <w:ilvl w:val="1"/>
          <w:numId w:val="65"/>
        </w:numPr>
        <w:spacing w:after="160" w:line="240" w:lineRule="auto"/>
        <w:ind w:left="1080"/>
        <w:rPr>
          <w:rFonts w:ascii="Times New Roman" w:eastAsia="Times New Roman" w:hAnsi="Times New Roman"/>
          <w:sz w:val="24"/>
          <w:szCs w:val="24"/>
        </w:rPr>
      </w:pPr>
      <w:r w:rsidRPr="00262CAA">
        <w:rPr>
          <w:rFonts w:ascii="Times New Roman" w:eastAsia="Times New Roman" w:hAnsi="Times New Roman"/>
          <w:sz w:val="24"/>
          <w:szCs w:val="24"/>
        </w:rPr>
        <w:t>Incarceration of all ACT served individuals admitted in FY</w:t>
      </w:r>
      <w:r w:rsidR="00262CAA">
        <w:rPr>
          <w:rFonts w:ascii="Times New Roman" w:eastAsia="Times New Roman" w:hAnsi="Times New Roman"/>
          <w:sz w:val="24"/>
          <w:szCs w:val="24"/>
        </w:rPr>
        <w:t xml:space="preserve"> 20</w:t>
      </w:r>
      <w:r w:rsidRPr="00262CAA">
        <w:rPr>
          <w:rFonts w:ascii="Times New Roman" w:eastAsia="Times New Roman" w:hAnsi="Times New Roman"/>
          <w:sz w:val="24"/>
          <w:szCs w:val="24"/>
        </w:rPr>
        <w:t>19 was reduced by 52</w:t>
      </w:r>
      <w:r w:rsidR="00262CAA">
        <w:rPr>
          <w:rFonts w:ascii="Times New Roman" w:eastAsia="Times New Roman" w:hAnsi="Times New Roman"/>
          <w:sz w:val="24"/>
          <w:szCs w:val="24"/>
        </w:rPr>
        <w:t xml:space="preserve"> percent</w:t>
      </w:r>
      <w:r w:rsidRPr="00262CAA">
        <w:rPr>
          <w:rFonts w:ascii="Times New Roman" w:eastAsia="Times New Roman" w:hAnsi="Times New Roman"/>
          <w:sz w:val="24"/>
          <w:szCs w:val="24"/>
        </w:rPr>
        <w:t xml:space="preserve"> and represents a cost avoidance of $411,212</w:t>
      </w:r>
      <w:r w:rsidRPr="00262CAA">
        <w:rPr>
          <w:rFonts w:ascii="Times New Roman" w:eastAsia="Times New Roman" w:hAnsi="Times New Roman"/>
          <w:b/>
          <w:bCs/>
          <w:sz w:val="24"/>
          <w:szCs w:val="24"/>
        </w:rPr>
        <w:t xml:space="preserve"> </w:t>
      </w:r>
      <w:r w:rsidRPr="00262CAA">
        <w:rPr>
          <w:rFonts w:ascii="Times New Roman" w:eastAsia="Times New Roman" w:hAnsi="Times New Roman"/>
          <w:sz w:val="24"/>
          <w:szCs w:val="24"/>
        </w:rPr>
        <w:t>related to this population.</w:t>
      </w:r>
    </w:p>
    <w:p w14:paraId="186A98AA" w14:textId="2F2574A8" w:rsidR="00427D5D" w:rsidRPr="00262CAA" w:rsidRDefault="00427D5D" w:rsidP="009054AA">
      <w:pPr>
        <w:pStyle w:val="ListParagraph"/>
        <w:numPr>
          <w:ilvl w:val="1"/>
          <w:numId w:val="65"/>
        </w:numPr>
        <w:spacing w:after="160" w:line="240" w:lineRule="auto"/>
        <w:ind w:left="1080"/>
        <w:rPr>
          <w:rFonts w:ascii="Times New Roman" w:eastAsia="Times New Roman" w:hAnsi="Times New Roman"/>
          <w:sz w:val="24"/>
          <w:szCs w:val="24"/>
        </w:rPr>
      </w:pPr>
      <w:r w:rsidRPr="00262CAA">
        <w:rPr>
          <w:rFonts w:ascii="Times New Roman" w:eastAsia="Times New Roman" w:hAnsi="Times New Roman"/>
          <w:sz w:val="24"/>
          <w:szCs w:val="24"/>
        </w:rPr>
        <w:t>In the two years prior to admission to ACT, all new FY</w:t>
      </w:r>
      <w:r w:rsidR="00262CAA">
        <w:rPr>
          <w:rFonts w:ascii="Times New Roman" w:eastAsia="Times New Roman" w:hAnsi="Times New Roman"/>
          <w:sz w:val="24"/>
          <w:szCs w:val="24"/>
        </w:rPr>
        <w:t xml:space="preserve"> 20</w:t>
      </w:r>
      <w:r w:rsidRPr="00262CAA">
        <w:rPr>
          <w:rFonts w:ascii="Times New Roman" w:eastAsia="Times New Roman" w:hAnsi="Times New Roman"/>
          <w:sz w:val="24"/>
          <w:szCs w:val="24"/>
        </w:rPr>
        <w:t>19 individuals served 7,829 days in confinement compared to only 3,730 days in the two years post entering ACT.</w:t>
      </w:r>
    </w:p>
    <w:p w14:paraId="4C6F8334" w14:textId="68259A00" w:rsidR="00427D5D" w:rsidRPr="00262CAA" w:rsidRDefault="00427D5D" w:rsidP="009054AA">
      <w:pPr>
        <w:pStyle w:val="ListParagraph"/>
        <w:numPr>
          <w:ilvl w:val="1"/>
          <w:numId w:val="65"/>
        </w:numPr>
        <w:spacing w:after="160" w:line="240" w:lineRule="auto"/>
        <w:ind w:left="1080"/>
        <w:rPr>
          <w:rFonts w:ascii="Times New Roman" w:eastAsia="Times New Roman" w:hAnsi="Times New Roman"/>
          <w:sz w:val="24"/>
          <w:szCs w:val="24"/>
        </w:rPr>
      </w:pPr>
      <w:r w:rsidRPr="00262CAA">
        <w:rPr>
          <w:rFonts w:ascii="Times New Roman" w:eastAsia="Times New Roman" w:hAnsi="Times New Roman"/>
          <w:sz w:val="24"/>
          <w:szCs w:val="24"/>
        </w:rPr>
        <w:t>Across the FY</w:t>
      </w:r>
      <w:r w:rsidR="00262CAA">
        <w:rPr>
          <w:rFonts w:ascii="Times New Roman" w:eastAsia="Times New Roman" w:hAnsi="Times New Roman"/>
          <w:sz w:val="24"/>
          <w:szCs w:val="24"/>
        </w:rPr>
        <w:t xml:space="preserve"> 20</w:t>
      </w:r>
      <w:r w:rsidRPr="00262CAA">
        <w:rPr>
          <w:rFonts w:ascii="Times New Roman" w:eastAsia="Times New Roman" w:hAnsi="Times New Roman"/>
          <w:sz w:val="24"/>
          <w:szCs w:val="24"/>
        </w:rPr>
        <w:t>16, FY</w:t>
      </w:r>
      <w:r w:rsidR="00262CAA">
        <w:rPr>
          <w:rFonts w:ascii="Times New Roman" w:eastAsia="Times New Roman" w:hAnsi="Times New Roman"/>
          <w:sz w:val="24"/>
          <w:szCs w:val="24"/>
        </w:rPr>
        <w:t xml:space="preserve"> 20</w:t>
      </w:r>
      <w:r w:rsidRPr="00262CAA">
        <w:rPr>
          <w:rFonts w:ascii="Times New Roman" w:eastAsia="Times New Roman" w:hAnsi="Times New Roman"/>
          <w:sz w:val="24"/>
          <w:szCs w:val="24"/>
        </w:rPr>
        <w:t>17, FY</w:t>
      </w:r>
      <w:r w:rsidR="00262CAA">
        <w:rPr>
          <w:rFonts w:ascii="Times New Roman" w:eastAsia="Times New Roman" w:hAnsi="Times New Roman"/>
          <w:sz w:val="24"/>
          <w:szCs w:val="24"/>
        </w:rPr>
        <w:t xml:space="preserve"> 20</w:t>
      </w:r>
      <w:r w:rsidRPr="00262CAA">
        <w:rPr>
          <w:rFonts w:ascii="Times New Roman" w:eastAsia="Times New Roman" w:hAnsi="Times New Roman"/>
          <w:sz w:val="24"/>
          <w:szCs w:val="24"/>
        </w:rPr>
        <w:t>18, and FY</w:t>
      </w:r>
      <w:r w:rsidR="00262CAA">
        <w:rPr>
          <w:rFonts w:ascii="Times New Roman" w:eastAsia="Times New Roman" w:hAnsi="Times New Roman"/>
          <w:sz w:val="24"/>
          <w:szCs w:val="24"/>
        </w:rPr>
        <w:t xml:space="preserve"> 20</w:t>
      </w:r>
      <w:r w:rsidRPr="00262CAA">
        <w:rPr>
          <w:rFonts w:ascii="Times New Roman" w:eastAsia="Times New Roman" w:hAnsi="Times New Roman"/>
          <w:sz w:val="24"/>
          <w:szCs w:val="24"/>
        </w:rPr>
        <w:t>19 cohorts, the ACT program contributed to an overall cost avoidance of $2,929,363 in jail costs in the two years post initiation of ACT services.</w:t>
      </w:r>
    </w:p>
    <w:p w14:paraId="087007F1" w14:textId="77777777" w:rsidR="00427D5D" w:rsidRPr="00F4298E" w:rsidRDefault="00427D5D" w:rsidP="00F46923">
      <w:pPr>
        <w:rPr>
          <w:color w:val="0D0D0D" w:themeColor="text1" w:themeTint="F2"/>
          <w:sz w:val="26"/>
          <w:szCs w:val="26"/>
        </w:rPr>
      </w:pPr>
      <w:r w:rsidRPr="00F4298E">
        <w:rPr>
          <w:b/>
          <w:bCs/>
          <w:i/>
          <w:iCs/>
          <w:sz w:val="26"/>
          <w:szCs w:val="26"/>
        </w:rPr>
        <w:t>Community Child and Family Behavioral Health Services</w:t>
      </w:r>
    </w:p>
    <w:p w14:paraId="2235B07C" w14:textId="77777777" w:rsidR="007B5F2B" w:rsidRPr="00D15731" w:rsidRDefault="007B5F2B" w:rsidP="009054AA">
      <w:pPr>
        <w:pStyle w:val="ListParagraph"/>
        <w:numPr>
          <w:ilvl w:val="0"/>
          <w:numId w:val="10"/>
        </w:numPr>
        <w:spacing w:after="0" w:line="240" w:lineRule="auto"/>
        <w:ind w:left="547"/>
        <w:rPr>
          <w:rFonts w:ascii="Times New Roman" w:hAnsi="Times New Roman"/>
          <w:sz w:val="24"/>
          <w:szCs w:val="24"/>
        </w:rPr>
      </w:pPr>
      <w:r w:rsidRPr="00D15731">
        <w:rPr>
          <w:rFonts w:ascii="Times New Roman" w:eastAsia="Times New Roman" w:hAnsi="Times New Roman"/>
          <w:color w:val="222222"/>
          <w:sz w:val="24"/>
          <w:szCs w:val="24"/>
        </w:rPr>
        <w:t>The V</w:t>
      </w:r>
      <w:r>
        <w:rPr>
          <w:rFonts w:ascii="Times New Roman" w:eastAsia="Times New Roman" w:hAnsi="Times New Roman"/>
          <w:color w:val="222222"/>
          <w:sz w:val="24"/>
          <w:szCs w:val="24"/>
        </w:rPr>
        <w:t>irginia</w:t>
      </w:r>
      <w:r w:rsidRPr="00D15731">
        <w:rPr>
          <w:rFonts w:ascii="Times New Roman" w:eastAsia="Times New Roman" w:hAnsi="Times New Roman"/>
          <w:color w:val="222222"/>
          <w:sz w:val="24"/>
          <w:szCs w:val="24"/>
        </w:rPr>
        <w:t xml:space="preserve"> Mental Health Access Program (VMAP) has launched and has fully staffed all five regional hubs providing behavioral health consultation and care navigation services to the region’s primary care providers (PCPs) who treat children and adolescents (North, East, Central, West, and Southwest). For the first time, VMAP was able to connect PCPs treating children and adolescents to local child and adolescent psychiatrists available for consultation 40 hours a week, scaling up from the previously part-time and state-wide line. </w:t>
      </w:r>
    </w:p>
    <w:p w14:paraId="1B07D9B3" w14:textId="77777777" w:rsidR="007B5F2B" w:rsidRPr="007B5F2B" w:rsidRDefault="007B5F2B" w:rsidP="009054AA">
      <w:pPr>
        <w:pStyle w:val="ListParagraph"/>
        <w:numPr>
          <w:ilvl w:val="0"/>
          <w:numId w:val="55"/>
        </w:numPr>
        <w:spacing w:after="0" w:line="240" w:lineRule="auto"/>
        <w:ind w:left="1080"/>
        <w:rPr>
          <w:rFonts w:ascii="Times New Roman" w:hAnsi="Times New Roman"/>
          <w:sz w:val="24"/>
          <w:szCs w:val="24"/>
        </w:rPr>
      </w:pPr>
      <w:r>
        <w:rPr>
          <w:rFonts w:ascii="Times New Roman" w:eastAsia="Times New Roman" w:hAnsi="Times New Roman"/>
          <w:color w:val="222222"/>
          <w:sz w:val="24"/>
          <w:szCs w:val="24"/>
        </w:rPr>
        <w:t>P</w:t>
      </w:r>
      <w:r w:rsidRPr="00D15731">
        <w:rPr>
          <w:rFonts w:ascii="Times New Roman" w:eastAsia="Times New Roman" w:hAnsi="Times New Roman"/>
          <w:color w:val="222222"/>
          <w:sz w:val="24"/>
          <w:szCs w:val="24"/>
        </w:rPr>
        <w:t xml:space="preserve">ublished the </w:t>
      </w:r>
      <w:r w:rsidRPr="00D15731">
        <w:rPr>
          <w:rFonts w:ascii="Times New Roman" w:eastAsia="Times New Roman" w:hAnsi="Times New Roman"/>
          <w:i/>
          <w:iCs/>
          <w:color w:val="222222"/>
          <w:sz w:val="24"/>
          <w:szCs w:val="24"/>
        </w:rPr>
        <w:t>VMAP Guide for Promoting Child and Adolescent Behavioral and Mental Health in Primary Care (v1.0)</w:t>
      </w:r>
      <w:r w:rsidRPr="00D15731">
        <w:rPr>
          <w:rFonts w:ascii="Times New Roman" w:eastAsia="Times New Roman" w:hAnsi="Times New Roman"/>
          <w:color w:val="222222"/>
          <w:sz w:val="24"/>
          <w:szCs w:val="24"/>
        </w:rPr>
        <w:t xml:space="preserve"> which is a compilation of evidence-based </w:t>
      </w:r>
      <w:r w:rsidRPr="00D15731">
        <w:rPr>
          <w:rFonts w:ascii="Times New Roman" w:eastAsia="Times New Roman" w:hAnsi="Times New Roman"/>
          <w:color w:val="222222"/>
          <w:sz w:val="24"/>
          <w:szCs w:val="24"/>
        </w:rPr>
        <w:lastRenderedPageBreak/>
        <w:t xml:space="preserve">practices, up-to-date resources, and practical knowledge specifically geared towards pediatric and adolescent health care providers. </w:t>
      </w:r>
    </w:p>
    <w:p w14:paraId="00C0415E" w14:textId="5A442F3A" w:rsidR="007B5F2B" w:rsidRPr="00D15731" w:rsidRDefault="007B5F2B" w:rsidP="009054AA">
      <w:pPr>
        <w:pStyle w:val="ListParagraph"/>
        <w:numPr>
          <w:ilvl w:val="0"/>
          <w:numId w:val="55"/>
        </w:numPr>
        <w:spacing w:after="0" w:line="240" w:lineRule="auto"/>
        <w:ind w:left="1080"/>
        <w:rPr>
          <w:rFonts w:ascii="Times New Roman" w:hAnsi="Times New Roman"/>
          <w:sz w:val="24"/>
          <w:szCs w:val="24"/>
        </w:rPr>
      </w:pPr>
      <w:r>
        <w:rPr>
          <w:rFonts w:ascii="Times New Roman" w:eastAsia="Times New Roman" w:hAnsi="Times New Roman"/>
          <w:color w:val="222222"/>
          <w:sz w:val="24"/>
          <w:szCs w:val="24"/>
        </w:rPr>
        <w:t>L</w:t>
      </w:r>
      <w:r w:rsidRPr="00D15731">
        <w:rPr>
          <w:rFonts w:ascii="Times New Roman" w:eastAsia="Times New Roman" w:hAnsi="Times New Roman"/>
          <w:color w:val="222222"/>
          <w:sz w:val="24"/>
          <w:szCs w:val="24"/>
        </w:rPr>
        <w:t>aunched Care Navigation Advisory Committees in the first two regions (North and East). These committees, comprised of diverse professionals and community members, help to facilitate regional communication between community behavioral health services and VMAP regional hub teams. VMAP’s goal is to have a Care Navigation Advisory Committee in every region by 2023.</w:t>
      </w:r>
    </w:p>
    <w:p w14:paraId="2162747F" w14:textId="77777777" w:rsidR="007B5F2B" w:rsidRDefault="007B5F2B" w:rsidP="009054AA">
      <w:pPr>
        <w:pStyle w:val="ListParagraph"/>
        <w:numPr>
          <w:ilvl w:val="0"/>
          <w:numId w:val="55"/>
        </w:numPr>
        <w:spacing w:after="0" w:line="240" w:lineRule="auto"/>
        <w:ind w:left="1080"/>
        <w:rPr>
          <w:rFonts w:ascii="Times New Roman" w:eastAsia="Times New Roman" w:hAnsi="Times New Roman"/>
          <w:color w:val="222222"/>
          <w:sz w:val="24"/>
          <w:szCs w:val="24"/>
        </w:rPr>
      </w:pPr>
      <w:r>
        <w:rPr>
          <w:rFonts w:ascii="Times New Roman" w:eastAsia="Times New Roman" w:hAnsi="Times New Roman"/>
          <w:color w:val="222222"/>
          <w:sz w:val="24"/>
          <w:szCs w:val="24"/>
        </w:rPr>
        <w:t>S</w:t>
      </w:r>
      <w:r w:rsidRPr="00D15731">
        <w:rPr>
          <w:rFonts w:ascii="Times New Roman" w:eastAsia="Times New Roman" w:hAnsi="Times New Roman"/>
          <w:color w:val="222222"/>
          <w:sz w:val="24"/>
          <w:szCs w:val="24"/>
        </w:rPr>
        <w:t>erved a total number of 1,422 unique patients</w:t>
      </w:r>
      <w:r>
        <w:rPr>
          <w:rFonts w:ascii="Times New Roman" w:eastAsia="Times New Roman" w:hAnsi="Times New Roman"/>
          <w:color w:val="222222"/>
          <w:sz w:val="24"/>
          <w:szCs w:val="24"/>
        </w:rPr>
        <w:t xml:space="preserve"> in FY 2022, and </w:t>
      </w:r>
      <w:r w:rsidRPr="00D15731">
        <w:rPr>
          <w:rFonts w:ascii="Times New Roman" w:eastAsia="Times New Roman" w:hAnsi="Times New Roman"/>
          <w:color w:val="222222"/>
          <w:sz w:val="24"/>
          <w:szCs w:val="24"/>
        </w:rPr>
        <w:t xml:space="preserve">had a total number of 1,664 consult calls, and registered 315 new providers. </w:t>
      </w:r>
    </w:p>
    <w:p w14:paraId="6A986F17" w14:textId="37D9EA18" w:rsidR="007B5F2B" w:rsidRPr="00D15731" w:rsidRDefault="007B5F2B" w:rsidP="009054AA">
      <w:pPr>
        <w:pStyle w:val="ListParagraph"/>
        <w:numPr>
          <w:ilvl w:val="0"/>
          <w:numId w:val="55"/>
        </w:numPr>
        <w:spacing w:after="0" w:line="240" w:lineRule="auto"/>
        <w:ind w:left="1080"/>
        <w:rPr>
          <w:rFonts w:ascii="Times New Roman" w:eastAsia="Times New Roman" w:hAnsi="Times New Roman"/>
          <w:color w:val="222222"/>
          <w:sz w:val="24"/>
          <w:szCs w:val="24"/>
        </w:rPr>
      </w:pPr>
      <w:r w:rsidRPr="00D15731">
        <w:rPr>
          <w:rFonts w:ascii="Times New Roman" w:eastAsia="Times New Roman" w:hAnsi="Times New Roman"/>
          <w:color w:val="222222"/>
          <w:sz w:val="24"/>
          <w:szCs w:val="24"/>
        </w:rPr>
        <w:t>PCPs called the VMAP line for a variety of reasons</w:t>
      </w:r>
      <w:r>
        <w:rPr>
          <w:rFonts w:ascii="Times New Roman" w:eastAsia="Times New Roman" w:hAnsi="Times New Roman"/>
          <w:color w:val="222222"/>
          <w:sz w:val="24"/>
          <w:szCs w:val="24"/>
        </w:rPr>
        <w:t xml:space="preserve"> in FY 2022; however,</w:t>
      </w:r>
      <w:r w:rsidRPr="00D15731">
        <w:rPr>
          <w:rFonts w:ascii="Times New Roman" w:eastAsia="Times New Roman" w:hAnsi="Times New Roman"/>
          <w:color w:val="222222"/>
          <w:sz w:val="24"/>
          <w:szCs w:val="24"/>
        </w:rPr>
        <w:t xml:space="preserve"> however, 82</w:t>
      </w:r>
      <w:r>
        <w:rPr>
          <w:rFonts w:ascii="Times New Roman" w:eastAsia="Times New Roman" w:hAnsi="Times New Roman"/>
          <w:color w:val="222222"/>
          <w:sz w:val="24"/>
          <w:szCs w:val="24"/>
        </w:rPr>
        <w:t xml:space="preserve"> percent</w:t>
      </w:r>
      <w:r w:rsidRPr="00D15731">
        <w:rPr>
          <w:rFonts w:ascii="Times New Roman" w:eastAsia="Times New Roman" w:hAnsi="Times New Roman"/>
          <w:color w:val="222222"/>
          <w:sz w:val="24"/>
          <w:szCs w:val="24"/>
        </w:rPr>
        <w:t xml:space="preserve"> of the calls were for medication consultation, 13</w:t>
      </w:r>
      <w:r>
        <w:rPr>
          <w:rFonts w:ascii="Times New Roman" w:eastAsia="Times New Roman" w:hAnsi="Times New Roman"/>
          <w:color w:val="222222"/>
          <w:sz w:val="24"/>
          <w:szCs w:val="24"/>
        </w:rPr>
        <w:t xml:space="preserve"> percent</w:t>
      </w:r>
      <w:r w:rsidRPr="00D15731">
        <w:rPr>
          <w:rFonts w:ascii="Times New Roman" w:eastAsia="Times New Roman" w:hAnsi="Times New Roman"/>
          <w:color w:val="222222"/>
          <w:sz w:val="24"/>
          <w:szCs w:val="24"/>
        </w:rPr>
        <w:t xml:space="preserve"> were for diagnostic consultation and 13</w:t>
      </w:r>
      <w:r>
        <w:rPr>
          <w:rFonts w:ascii="Times New Roman" w:eastAsia="Times New Roman" w:hAnsi="Times New Roman"/>
          <w:color w:val="222222"/>
          <w:sz w:val="24"/>
          <w:szCs w:val="24"/>
        </w:rPr>
        <w:t xml:space="preserve"> percent</w:t>
      </w:r>
      <w:r w:rsidRPr="00D15731">
        <w:rPr>
          <w:rFonts w:ascii="Times New Roman" w:eastAsia="Times New Roman" w:hAnsi="Times New Roman"/>
          <w:color w:val="222222"/>
          <w:sz w:val="24"/>
          <w:szCs w:val="24"/>
        </w:rPr>
        <w:t xml:space="preserve"> were for therapy/behavioral consultation.</w:t>
      </w:r>
    </w:p>
    <w:p w14:paraId="4CED6132" w14:textId="77777777" w:rsidR="00427D5D" w:rsidRPr="00D15731" w:rsidRDefault="00427D5D" w:rsidP="009054AA">
      <w:pPr>
        <w:pStyle w:val="ListParagraph"/>
        <w:numPr>
          <w:ilvl w:val="0"/>
          <w:numId w:val="10"/>
        </w:numPr>
        <w:spacing w:after="0" w:line="240" w:lineRule="auto"/>
        <w:ind w:left="547"/>
        <w:rPr>
          <w:rFonts w:ascii="Times New Roman" w:eastAsia="Times New Roman" w:hAnsi="Times New Roman"/>
          <w:sz w:val="24"/>
          <w:szCs w:val="24"/>
        </w:rPr>
      </w:pPr>
      <w:r w:rsidRPr="00D15731">
        <w:rPr>
          <w:rFonts w:ascii="Times New Roman" w:eastAsia="Times New Roman" w:hAnsi="Times New Roman"/>
          <w:color w:val="000000" w:themeColor="text1"/>
          <w:sz w:val="24"/>
          <w:szCs w:val="24"/>
        </w:rPr>
        <w:t xml:space="preserve">Served 21,048 infants and toddlers in FY 2021 through Early Intervention/Part C. The number of infants and toddlers served exceeds pre-pandemic numbers. Early Intervention Part C implemented a new data system and hosted a statewide conference for early intervention providers.   </w:t>
      </w:r>
    </w:p>
    <w:p w14:paraId="49B6A14B" w14:textId="3ACFBC86" w:rsidR="00427D5D" w:rsidRPr="00D15731" w:rsidRDefault="00427D5D" w:rsidP="009054AA">
      <w:pPr>
        <w:pStyle w:val="ListParagraph"/>
        <w:numPr>
          <w:ilvl w:val="0"/>
          <w:numId w:val="10"/>
        </w:numPr>
        <w:spacing w:after="0" w:line="240" w:lineRule="auto"/>
        <w:ind w:left="547"/>
        <w:rPr>
          <w:rFonts w:ascii="Times New Roman" w:eastAsia="Times New Roman" w:hAnsi="Times New Roman"/>
          <w:sz w:val="24"/>
          <w:szCs w:val="24"/>
        </w:rPr>
      </w:pPr>
      <w:r w:rsidRPr="00D15731">
        <w:rPr>
          <w:rFonts w:ascii="Times New Roman" w:eastAsia="Times New Roman" w:hAnsi="Times New Roman"/>
          <w:color w:val="222222"/>
          <w:sz w:val="24"/>
          <w:szCs w:val="24"/>
        </w:rPr>
        <w:t xml:space="preserve">Awarded school based mental health grants through the Consolidated Appropriations Act and the American Rescue Plan Act to 12 </w:t>
      </w:r>
      <w:r w:rsidR="00262CAA">
        <w:rPr>
          <w:rFonts w:ascii="Times New Roman" w:eastAsia="Times New Roman" w:hAnsi="Times New Roman"/>
          <w:color w:val="222222"/>
          <w:sz w:val="24"/>
          <w:szCs w:val="24"/>
        </w:rPr>
        <w:t>CSBs.</w:t>
      </w:r>
      <w:r w:rsidRPr="00D15731">
        <w:rPr>
          <w:rFonts w:ascii="Times New Roman" w:eastAsia="Times New Roman" w:hAnsi="Times New Roman"/>
          <w:color w:val="222222"/>
          <w:sz w:val="24"/>
          <w:szCs w:val="24"/>
        </w:rPr>
        <w:t xml:space="preserve"> The CSBs are providing school based mental health services to children and adolescents with </w:t>
      </w:r>
      <w:r w:rsidR="00262CAA">
        <w:rPr>
          <w:rFonts w:ascii="Times New Roman" w:eastAsia="Times New Roman" w:hAnsi="Times New Roman"/>
          <w:color w:val="222222"/>
          <w:sz w:val="24"/>
          <w:szCs w:val="24"/>
        </w:rPr>
        <w:t>s</w:t>
      </w:r>
      <w:r w:rsidRPr="00D15731">
        <w:rPr>
          <w:rFonts w:ascii="Times New Roman" w:eastAsia="Times New Roman" w:hAnsi="Times New Roman"/>
          <w:color w:val="222222"/>
          <w:sz w:val="24"/>
          <w:szCs w:val="24"/>
        </w:rPr>
        <w:t xml:space="preserve">erious </w:t>
      </w:r>
      <w:r w:rsidR="00262CAA">
        <w:rPr>
          <w:rFonts w:ascii="Times New Roman" w:eastAsia="Times New Roman" w:hAnsi="Times New Roman"/>
          <w:color w:val="222222"/>
          <w:sz w:val="24"/>
          <w:szCs w:val="24"/>
        </w:rPr>
        <w:t>e</w:t>
      </w:r>
      <w:r w:rsidRPr="00D15731">
        <w:rPr>
          <w:rFonts w:ascii="Times New Roman" w:eastAsia="Times New Roman" w:hAnsi="Times New Roman"/>
          <w:color w:val="222222"/>
          <w:sz w:val="24"/>
          <w:szCs w:val="24"/>
        </w:rPr>
        <w:t xml:space="preserve">motional </w:t>
      </w:r>
      <w:r w:rsidR="00262CAA">
        <w:rPr>
          <w:rFonts w:ascii="Times New Roman" w:eastAsia="Times New Roman" w:hAnsi="Times New Roman"/>
          <w:color w:val="222222"/>
          <w:sz w:val="24"/>
          <w:szCs w:val="24"/>
        </w:rPr>
        <w:t>d</w:t>
      </w:r>
      <w:r w:rsidRPr="00D15731">
        <w:rPr>
          <w:rFonts w:ascii="Times New Roman" w:eastAsia="Times New Roman" w:hAnsi="Times New Roman"/>
          <w:color w:val="222222"/>
          <w:sz w:val="24"/>
          <w:szCs w:val="24"/>
        </w:rPr>
        <w:t>isturbance.</w:t>
      </w:r>
      <w:r w:rsidRPr="00D15731">
        <w:rPr>
          <w:rFonts w:ascii="Times New Roman" w:eastAsia="Times New Roman" w:hAnsi="Times New Roman"/>
          <w:sz w:val="24"/>
          <w:szCs w:val="24"/>
        </w:rPr>
        <w:t xml:space="preserve"> </w:t>
      </w:r>
    </w:p>
    <w:p w14:paraId="03051CD5" w14:textId="22A507CB" w:rsidR="00EA4026" w:rsidRPr="007B5F2B" w:rsidRDefault="00427D5D" w:rsidP="009054AA">
      <w:pPr>
        <w:pStyle w:val="ListParagraph"/>
        <w:numPr>
          <w:ilvl w:val="0"/>
          <w:numId w:val="10"/>
        </w:numPr>
        <w:spacing w:after="0" w:line="240" w:lineRule="auto"/>
        <w:ind w:left="547"/>
        <w:rPr>
          <w:rFonts w:ascii="Times New Roman" w:eastAsia="Arial" w:hAnsi="Times New Roman"/>
          <w:sz w:val="24"/>
          <w:szCs w:val="24"/>
        </w:rPr>
      </w:pPr>
      <w:r w:rsidRPr="00D15731">
        <w:rPr>
          <w:rFonts w:ascii="Times New Roman" w:eastAsia="Arial" w:hAnsi="Times New Roman"/>
          <w:color w:val="222222"/>
          <w:sz w:val="24"/>
          <w:szCs w:val="24"/>
        </w:rPr>
        <w:t>C</w:t>
      </w:r>
      <w:r w:rsidRPr="00D15731">
        <w:rPr>
          <w:rFonts w:ascii="Times New Roman" w:eastAsia="Times New Roman" w:hAnsi="Times New Roman"/>
          <w:color w:val="222222"/>
          <w:sz w:val="24"/>
          <w:szCs w:val="24"/>
        </w:rPr>
        <w:t>ompleted two children</w:t>
      </w:r>
      <w:r w:rsidR="00262CAA">
        <w:rPr>
          <w:rFonts w:ascii="Times New Roman" w:eastAsia="Times New Roman" w:hAnsi="Times New Roman"/>
          <w:color w:val="222222"/>
          <w:sz w:val="24"/>
          <w:szCs w:val="24"/>
        </w:rPr>
        <w:t>’</w:t>
      </w:r>
      <w:r w:rsidRPr="00D15731">
        <w:rPr>
          <w:rFonts w:ascii="Times New Roman" w:eastAsia="Times New Roman" w:hAnsi="Times New Roman"/>
          <w:color w:val="222222"/>
          <w:sz w:val="24"/>
          <w:szCs w:val="24"/>
        </w:rPr>
        <w:t xml:space="preserve">s mobile crisis train-the-trainer cohorts with the curriculum developer </w:t>
      </w:r>
      <w:proofErr w:type="spellStart"/>
      <w:r w:rsidRPr="00D15731">
        <w:rPr>
          <w:rFonts w:ascii="Times New Roman" w:eastAsia="Times New Roman" w:hAnsi="Times New Roman"/>
          <w:color w:val="222222"/>
          <w:sz w:val="24"/>
          <w:szCs w:val="24"/>
        </w:rPr>
        <w:t>Briljent</w:t>
      </w:r>
      <w:proofErr w:type="spellEnd"/>
      <w:r w:rsidRPr="00D15731">
        <w:rPr>
          <w:rFonts w:ascii="Times New Roman" w:eastAsia="Times New Roman" w:hAnsi="Times New Roman"/>
          <w:color w:val="222222"/>
          <w:sz w:val="24"/>
          <w:szCs w:val="24"/>
        </w:rPr>
        <w:t xml:space="preserve">, LLC.  Those that completed the train-the-trainer are now mobile crisis instructors who </w:t>
      </w:r>
      <w:proofErr w:type="gramStart"/>
      <w:r w:rsidRPr="00D15731">
        <w:rPr>
          <w:rFonts w:ascii="Times New Roman" w:eastAsia="Times New Roman" w:hAnsi="Times New Roman"/>
          <w:color w:val="222222"/>
          <w:sz w:val="24"/>
          <w:szCs w:val="24"/>
        </w:rPr>
        <w:t>are able to</w:t>
      </w:r>
      <w:proofErr w:type="gramEnd"/>
      <w:r w:rsidRPr="00D15731">
        <w:rPr>
          <w:rFonts w:ascii="Times New Roman" w:eastAsia="Times New Roman" w:hAnsi="Times New Roman"/>
          <w:color w:val="222222"/>
          <w:sz w:val="24"/>
          <w:szCs w:val="24"/>
        </w:rPr>
        <w:t xml:space="preserve"> provide training on the children's mobile crisis curriculum </w:t>
      </w:r>
      <w:r w:rsidRPr="007B5F2B">
        <w:rPr>
          <w:rFonts w:ascii="Times New Roman" w:eastAsia="Times New Roman" w:hAnsi="Times New Roman"/>
          <w:sz w:val="24"/>
          <w:szCs w:val="24"/>
        </w:rPr>
        <w:t xml:space="preserve">throughout the Commonwealth.  </w:t>
      </w:r>
    </w:p>
    <w:p w14:paraId="38744B49" w14:textId="77777777" w:rsidR="00EA4026" w:rsidRPr="007B5F2B" w:rsidRDefault="00427D5D" w:rsidP="009054AA">
      <w:pPr>
        <w:pStyle w:val="ListParagraph"/>
        <w:numPr>
          <w:ilvl w:val="0"/>
          <w:numId w:val="10"/>
        </w:numPr>
        <w:spacing w:after="0" w:line="240" w:lineRule="auto"/>
        <w:ind w:left="547"/>
        <w:rPr>
          <w:rFonts w:ascii="Times New Roman" w:eastAsia="Arial" w:hAnsi="Times New Roman"/>
          <w:sz w:val="24"/>
          <w:szCs w:val="24"/>
        </w:rPr>
      </w:pPr>
      <w:r w:rsidRPr="007B5F2B">
        <w:rPr>
          <w:rFonts w:ascii="Times New Roman" w:hAnsi="Times New Roman"/>
          <w:sz w:val="24"/>
          <w:szCs w:val="24"/>
        </w:rPr>
        <w:t xml:space="preserve">Awarded a contract to develop training facilitation </w:t>
      </w:r>
      <w:proofErr w:type="gramStart"/>
      <w:r w:rsidRPr="007B5F2B">
        <w:rPr>
          <w:rFonts w:ascii="Times New Roman" w:hAnsi="Times New Roman"/>
          <w:sz w:val="24"/>
          <w:szCs w:val="24"/>
        </w:rPr>
        <w:t>tool-kits</w:t>
      </w:r>
      <w:proofErr w:type="gramEnd"/>
      <w:r w:rsidRPr="007B5F2B">
        <w:rPr>
          <w:rFonts w:ascii="Times New Roman" w:hAnsi="Times New Roman"/>
          <w:sz w:val="24"/>
          <w:szCs w:val="24"/>
        </w:rPr>
        <w:t xml:space="preserve"> for all mobile crisis trainers.  The tool kits include content on Best Practices, Mentoring, and Master Training.</w:t>
      </w:r>
    </w:p>
    <w:p w14:paraId="3C0433E7" w14:textId="07939C72" w:rsidR="00427D5D" w:rsidRPr="007B5F2B" w:rsidRDefault="007B5F2B" w:rsidP="009054AA">
      <w:pPr>
        <w:pStyle w:val="ListParagraph"/>
        <w:numPr>
          <w:ilvl w:val="0"/>
          <w:numId w:val="10"/>
        </w:numPr>
        <w:spacing w:after="0" w:line="240" w:lineRule="auto"/>
        <w:ind w:left="547"/>
        <w:rPr>
          <w:rFonts w:ascii="Times New Roman" w:eastAsia="Arial" w:hAnsi="Times New Roman"/>
          <w:sz w:val="24"/>
          <w:szCs w:val="24"/>
        </w:rPr>
      </w:pPr>
      <w:r w:rsidRPr="007B5F2B">
        <w:rPr>
          <w:rFonts w:ascii="Times New Roman" w:hAnsi="Times New Roman"/>
          <w:sz w:val="24"/>
          <w:szCs w:val="24"/>
        </w:rPr>
        <w:t>Funded</w:t>
      </w:r>
      <w:r w:rsidR="00427D5D" w:rsidRPr="007B5F2B">
        <w:rPr>
          <w:rFonts w:ascii="Times New Roman" w:hAnsi="Times New Roman"/>
          <w:sz w:val="24"/>
          <w:szCs w:val="24"/>
        </w:rPr>
        <w:t xml:space="preserve"> ten CSBs to develop adolescent-focused</w:t>
      </w:r>
      <w:r w:rsidR="00262CAA" w:rsidRPr="007B5F2B">
        <w:rPr>
          <w:rFonts w:ascii="Times New Roman" w:hAnsi="Times New Roman"/>
          <w:sz w:val="24"/>
          <w:szCs w:val="24"/>
        </w:rPr>
        <w:t xml:space="preserve"> substance use disorder s</w:t>
      </w:r>
      <w:r w:rsidR="00427D5D" w:rsidRPr="007B5F2B">
        <w:rPr>
          <w:rFonts w:ascii="Times New Roman" w:hAnsi="Times New Roman"/>
          <w:sz w:val="24"/>
          <w:szCs w:val="24"/>
        </w:rPr>
        <w:t>ervices.</w:t>
      </w:r>
    </w:p>
    <w:p w14:paraId="1BB5A2DD" w14:textId="77777777" w:rsidR="007B5F2B" w:rsidRPr="007B5F2B" w:rsidRDefault="00427D5D" w:rsidP="009054AA">
      <w:pPr>
        <w:pStyle w:val="ListParagraph"/>
        <w:numPr>
          <w:ilvl w:val="0"/>
          <w:numId w:val="10"/>
        </w:numPr>
        <w:spacing w:after="0" w:line="240" w:lineRule="auto"/>
        <w:ind w:left="547"/>
        <w:rPr>
          <w:rFonts w:ascii="Times New Roman" w:hAnsi="Times New Roman"/>
          <w:sz w:val="24"/>
          <w:szCs w:val="24"/>
        </w:rPr>
      </w:pPr>
      <w:r w:rsidRPr="007B5F2B">
        <w:rPr>
          <w:rFonts w:ascii="Times New Roman" w:eastAsia="Times New Roman" w:hAnsi="Times New Roman"/>
          <w:sz w:val="24"/>
          <w:szCs w:val="24"/>
        </w:rPr>
        <w:t>Continued funding for sustainability of the evidence-based practice</w:t>
      </w:r>
      <w:r w:rsidR="007B5F2B" w:rsidRPr="007B5F2B">
        <w:rPr>
          <w:rFonts w:ascii="Times New Roman" w:eastAsia="Times New Roman" w:hAnsi="Times New Roman"/>
          <w:sz w:val="24"/>
          <w:szCs w:val="24"/>
        </w:rPr>
        <w:t xml:space="preserve"> Advanced Clinical Research Award (</w:t>
      </w:r>
      <w:r w:rsidRPr="007B5F2B">
        <w:rPr>
          <w:rFonts w:ascii="Times New Roman" w:eastAsia="Times New Roman" w:hAnsi="Times New Roman"/>
          <w:sz w:val="24"/>
          <w:szCs w:val="24"/>
        </w:rPr>
        <w:t>ACRA</w:t>
      </w:r>
      <w:r w:rsidR="007B5F2B" w:rsidRPr="007B5F2B">
        <w:rPr>
          <w:rFonts w:ascii="Times New Roman" w:eastAsia="Times New Roman" w:hAnsi="Times New Roman"/>
          <w:sz w:val="24"/>
          <w:szCs w:val="24"/>
        </w:rPr>
        <w:t>)</w:t>
      </w:r>
      <w:r w:rsidRPr="007B5F2B">
        <w:rPr>
          <w:rFonts w:ascii="Times New Roman" w:eastAsia="Times New Roman" w:hAnsi="Times New Roman"/>
          <w:sz w:val="24"/>
          <w:szCs w:val="24"/>
        </w:rPr>
        <w:t xml:space="preserve"> for adolescent substance use treatment and expanded peer recovery specialists for adolescents/young adults at existing ACRA grant sites.</w:t>
      </w:r>
    </w:p>
    <w:p w14:paraId="696C6C49" w14:textId="43A49359" w:rsidR="00427D5D" w:rsidRPr="007B5F2B" w:rsidRDefault="007B5F2B" w:rsidP="009054AA">
      <w:pPr>
        <w:pStyle w:val="ListParagraph"/>
        <w:numPr>
          <w:ilvl w:val="0"/>
          <w:numId w:val="10"/>
        </w:numPr>
        <w:spacing w:after="0" w:line="240" w:lineRule="auto"/>
        <w:ind w:left="547"/>
        <w:rPr>
          <w:rFonts w:ascii="Times New Roman" w:hAnsi="Times New Roman"/>
          <w:sz w:val="24"/>
          <w:szCs w:val="24"/>
        </w:rPr>
      </w:pPr>
      <w:r w:rsidRPr="007B5F2B">
        <w:rPr>
          <w:rFonts w:ascii="Times New Roman" w:hAnsi="Times New Roman"/>
          <w:sz w:val="24"/>
          <w:szCs w:val="24"/>
        </w:rPr>
        <w:t>H</w:t>
      </w:r>
      <w:r w:rsidR="00427D5D" w:rsidRPr="007B5F2B">
        <w:rPr>
          <w:rFonts w:ascii="Times New Roman" w:hAnsi="Times New Roman"/>
          <w:sz w:val="24"/>
          <w:szCs w:val="24"/>
        </w:rPr>
        <w:t xml:space="preserve">osted </w:t>
      </w:r>
      <w:r w:rsidRPr="007B5F2B">
        <w:rPr>
          <w:rFonts w:ascii="Times New Roman" w:hAnsi="Times New Roman"/>
          <w:sz w:val="24"/>
          <w:szCs w:val="24"/>
        </w:rPr>
        <w:t>an</w:t>
      </w:r>
      <w:r w:rsidR="00427D5D" w:rsidRPr="007B5F2B">
        <w:rPr>
          <w:rFonts w:ascii="Times New Roman" w:hAnsi="Times New Roman"/>
          <w:sz w:val="24"/>
          <w:szCs w:val="24"/>
        </w:rPr>
        <w:t xml:space="preserve"> annual adolescent and young adult substance use symposium- </w:t>
      </w:r>
      <w:r w:rsidR="00427D5D" w:rsidRPr="007B5F2B">
        <w:rPr>
          <w:rFonts w:ascii="Times New Roman" w:hAnsi="Times New Roman"/>
          <w:i/>
          <w:iCs/>
          <w:sz w:val="24"/>
          <w:szCs w:val="24"/>
        </w:rPr>
        <w:t>Adolescent &amp; Young Adult Substance Use Symposium: Pathways to Compassion, Healing &amp; Recovery</w:t>
      </w:r>
      <w:r w:rsidR="00427D5D" w:rsidRPr="007B5F2B">
        <w:rPr>
          <w:rFonts w:ascii="Times New Roman" w:hAnsi="Times New Roman"/>
          <w:sz w:val="24"/>
          <w:szCs w:val="24"/>
        </w:rPr>
        <w:t xml:space="preserve"> for 400 physicians and clinicians in the state. </w:t>
      </w:r>
    </w:p>
    <w:p w14:paraId="619D5D53" w14:textId="77777777" w:rsidR="00427D5D" w:rsidRPr="00D15731" w:rsidRDefault="00427D5D" w:rsidP="00F46923">
      <w:pPr>
        <w:rPr>
          <w:rFonts w:eastAsia="Calibri"/>
          <w:color w:val="222222"/>
        </w:rPr>
      </w:pPr>
    </w:p>
    <w:p w14:paraId="6AAB9DB8" w14:textId="4F04ECAB" w:rsidR="00427D5D" w:rsidRPr="00F4298E" w:rsidRDefault="00427D5D" w:rsidP="00F46923">
      <w:pPr>
        <w:rPr>
          <w:b/>
          <w:i/>
          <w:iCs/>
          <w:sz w:val="26"/>
          <w:szCs w:val="26"/>
        </w:rPr>
      </w:pPr>
      <w:r w:rsidRPr="00F4298E">
        <w:rPr>
          <w:b/>
          <w:i/>
          <w:iCs/>
          <w:sz w:val="26"/>
          <w:szCs w:val="26"/>
        </w:rPr>
        <w:t>Behavioral Health Wellness</w:t>
      </w:r>
      <w:r w:rsidR="007B5F2B" w:rsidRPr="00F4298E">
        <w:rPr>
          <w:b/>
          <w:i/>
          <w:iCs/>
          <w:sz w:val="26"/>
          <w:szCs w:val="26"/>
        </w:rPr>
        <w:t xml:space="preserve"> and </w:t>
      </w:r>
      <w:r w:rsidRPr="00F4298E">
        <w:rPr>
          <w:b/>
          <w:i/>
          <w:iCs/>
          <w:sz w:val="26"/>
          <w:szCs w:val="26"/>
        </w:rPr>
        <w:t xml:space="preserve">Suicide Prevention </w:t>
      </w:r>
    </w:p>
    <w:p w14:paraId="2AE5D40B" w14:textId="1D141C10" w:rsidR="00427D5D" w:rsidRPr="00C15AD9" w:rsidRDefault="00427D5D" w:rsidP="009054AA">
      <w:pPr>
        <w:pStyle w:val="NoSpacing"/>
        <w:numPr>
          <w:ilvl w:val="0"/>
          <w:numId w:val="59"/>
        </w:numPr>
        <w:ind w:left="540"/>
        <w:rPr>
          <w:rFonts w:ascii="Times New Roman" w:eastAsia="Arial" w:hAnsi="Times New Roman"/>
          <w:sz w:val="24"/>
          <w:szCs w:val="24"/>
        </w:rPr>
      </w:pPr>
      <w:r w:rsidRPr="00C15AD9">
        <w:rPr>
          <w:rFonts w:ascii="Times New Roman" w:hAnsi="Times New Roman"/>
          <w:sz w:val="24"/>
          <w:szCs w:val="24"/>
        </w:rPr>
        <w:t>Lock and Talk Virginia Lethal Means Safety Initiative expanded to all 40 CSBs. The</w:t>
      </w:r>
      <w:r w:rsidR="007B5F2B" w:rsidRPr="00C15AD9">
        <w:rPr>
          <w:rFonts w:ascii="Times New Roman" w:hAnsi="Times New Roman"/>
          <w:sz w:val="24"/>
          <w:szCs w:val="24"/>
        </w:rPr>
        <w:t xml:space="preserve"> </w:t>
      </w:r>
      <w:r w:rsidRPr="00C15AD9">
        <w:rPr>
          <w:rFonts w:ascii="Times New Roman" w:hAnsi="Times New Roman"/>
          <w:sz w:val="24"/>
          <w:szCs w:val="24"/>
        </w:rPr>
        <w:t>initiative recognizes that promoting safe and responsible care of lethal means – while</w:t>
      </w:r>
      <w:r w:rsidR="007B5F2B" w:rsidRPr="00C15AD9">
        <w:rPr>
          <w:rFonts w:ascii="Times New Roman" w:hAnsi="Times New Roman"/>
          <w:sz w:val="24"/>
          <w:szCs w:val="24"/>
        </w:rPr>
        <w:t xml:space="preserve"> </w:t>
      </w:r>
      <w:r w:rsidRPr="00C15AD9">
        <w:rPr>
          <w:rFonts w:ascii="Times New Roman" w:hAnsi="Times New Roman"/>
          <w:sz w:val="24"/>
          <w:szCs w:val="24"/>
        </w:rPr>
        <w:t>encouraging community conversations around mental wellness – is vital to the mission of</w:t>
      </w:r>
      <w:r w:rsidR="007B5F2B" w:rsidRPr="00C15AD9">
        <w:rPr>
          <w:rFonts w:ascii="Times New Roman" w:hAnsi="Times New Roman"/>
          <w:sz w:val="24"/>
          <w:szCs w:val="24"/>
        </w:rPr>
        <w:t xml:space="preserve"> </w:t>
      </w:r>
      <w:r w:rsidRPr="00C15AD9">
        <w:rPr>
          <w:rFonts w:ascii="Times New Roman" w:hAnsi="Times New Roman"/>
          <w:sz w:val="24"/>
          <w:szCs w:val="24"/>
        </w:rPr>
        <w:t xml:space="preserve">preventing suicides and promoting wellness. Lock and Talk Virginia gives community members the opportunity to become educated about the signs of suicide risk and how to act as a catalyst to care. This year alone, over 18,000 medication safety devices and over </w:t>
      </w:r>
      <w:proofErr w:type="gramStart"/>
      <w:r w:rsidRPr="00C15AD9">
        <w:rPr>
          <w:rFonts w:ascii="Times New Roman" w:hAnsi="Times New Roman"/>
          <w:sz w:val="24"/>
          <w:szCs w:val="24"/>
        </w:rPr>
        <w:t>17,500 gun</w:t>
      </w:r>
      <w:proofErr w:type="gramEnd"/>
      <w:r w:rsidRPr="00C15AD9">
        <w:rPr>
          <w:rFonts w:ascii="Times New Roman" w:hAnsi="Times New Roman"/>
          <w:sz w:val="24"/>
          <w:szCs w:val="24"/>
        </w:rPr>
        <w:t xml:space="preserve"> locks were distributed with education.</w:t>
      </w:r>
    </w:p>
    <w:p w14:paraId="1AA7C3EE" w14:textId="504A46D8" w:rsidR="00427D5D" w:rsidRPr="00C15AD9" w:rsidRDefault="00C15AD9" w:rsidP="009054AA">
      <w:pPr>
        <w:pStyle w:val="NoSpacing"/>
        <w:numPr>
          <w:ilvl w:val="0"/>
          <w:numId w:val="59"/>
        </w:numPr>
        <w:ind w:left="540"/>
        <w:rPr>
          <w:rFonts w:ascii="Times New Roman" w:eastAsia="Arial" w:hAnsi="Times New Roman"/>
          <w:sz w:val="24"/>
          <w:szCs w:val="24"/>
        </w:rPr>
      </w:pPr>
      <w:r w:rsidRPr="00C15AD9">
        <w:rPr>
          <w:rFonts w:ascii="Times New Roman" w:hAnsi="Times New Roman"/>
          <w:sz w:val="24"/>
          <w:szCs w:val="24"/>
        </w:rPr>
        <w:t xml:space="preserve">Applied Suicide Intervention Skills Training (ASIST) – </w:t>
      </w:r>
      <w:r w:rsidR="00427D5D" w:rsidRPr="00C15AD9">
        <w:rPr>
          <w:rFonts w:ascii="Times New Roman" w:hAnsi="Times New Roman"/>
          <w:sz w:val="24"/>
          <w:szCs w:val="24"/>
        </w:rPr>
        <w:t>Trained 138 individuals in ASIST as of</w:t>
      </w:r>
      <w:r w:rsidRPr="00C15AD9">
        <w:rPr>
          <w:rFonts w:ascii="Times New Roman" w:hAnsi="Times New Roman"/>
          <w:sz w:val="24"/>
          <w:szCs w:val="24"/>
        </w:rPr>
        <w:t xml:space="preserve"> </w:t>
      </w:r>
      <w:r w:rsidR="00427D5D" w:rsidRPr="00C15AD9">
        <w:rPr>
          <w:rFonts w:ascii="Times New Roman" w:hAnsi="Times New Roman"/>
          <w:sz w:val="24"/>
          <w:szCs w:val="24"/>
        </w:rPr>
        <w:t xml:space="preserve">June 2022, bringing the total trained to 3,983. ASIST is designed to help caregivers recognize risk for suicide, intervene to prevent immediate harm and link persons at risk to </w:t>
      </w:r>
      <w:r w:rsidR="00427D5D" w:rsidRPr="00C15AD9">
        <w:rPr>
          <w:rFonts w:ascii="Times New Roman" w:hAnsi="Times New Roman"/>
          <w:sz w:val="24"/>
          <w:szCs w:val="24"/>
        </w:rPr>
        <w:lastRenderedPageBreak/>
        <w:t>the next level of care. (Note: This training is only offered in-person. Numbers have been lower than expected due to limitations imposed by COVID-19 guidelines.)</w:t>
      </w:r>
    </w:p>
    <w:p w14:paraId="41BE5DB4" w14:textId="1A24ABFA" w:rsidR="00276949" w:rsidRPr="00C15AD9" w:rsidRDefault="00C15AD9" w:rsidP="009054AA">
      <w:pPr>
        <w:pStyle w:val="NoSpacing"/>
        <w:numPr>
          <w:ilvl w:val="0"/>
          <w:numId w:val="59"/>
        </w:numPr>
        <w:ind w:left="540"/>
        <w:rPr>
          <w:rFonts w:ascii="Times New Roman" w:eastAsia="Arial" w:hAnsi="Times New Roman"/>
          <w:sz w:val="24"/>
          <w:szCs w:val="24"/>
        </w:rPr>
      </w:pPr>
      <w:r w:rsidRPr="00C15AD9">
        <w:rPr>
          <w:rFonts w:ascii="Times New Roman" w:hAnsi="Times New Roman"/>
          <w:sz w:val="24"/>
          <w:szCs w:val="24"/>
        </w:rPr>
        <w:t xml:space="preserve">SafeTALK (Suicide Alertness for Everyone) – </w:t>
      </w:r>
      <w:r w:rsidR="00427D5D" w:rsidRPr="00C15AD9">
        <w:rPr>
          <w:rFonts w:ascii="Times New Roman" w:hAnsi="Times New Roman"/>
          <w:sz w:val="24"/>
          <w:szCs w:val="24"/>
        </w:rPr>
        <w:t xml:space="preserve">Trained 205 individuals in </w:t>
      </w:r>
      <w:r w:rsidRPr="00C15AD9">
        <w:rPr>
          <w:rFonts w:ascii="Times New Roman" w:hAnsi="Times New Roman"/>
          <w:sz w:val="24"/>
          <w:szCs w:val="24"/>
        </w:rPr>
        <w:t xml:space="preserve">safeTALK </w:t>
      </w:r>
      <w:r w:rsidR="00427D5D" w:rsidRPr="00C15AD9">
        <w:rPr>
          <w:rFonts w:ascii="Times New Roman" w:hAnsi="Times New Roman"/>
          <w:sz w:val="24"/>
          <w:szCs w:val="24"/>
        </w:rPr>
        <w:t>as of June 2022,</w:t>
      </w:r>
      <w:r w:rsidRPr="00C15AD9">
        <w:rPr>
          <w:rFonts w:ascii="Times New Roman" w:hAnsi="Times New Roman"/>
          <w:sz w:val="24"/>
          <w:szCs w:val="24"/>
        </w:rPr>
        <w:t xml:space="preserve"> </w:t>
      </w:r>
      <w:r w:rsidR="00427D5D" w:rsidRPr="00C15AD9">
        <w:rPr>
          <w:rFonts w:ascii="Times New Roman" w:hAnsi="Times New Roman"/>
          <w:sz w:val="24"/>
          <w:szCs w:val="24"/>
        </w:rPr>
        <w:t>bringing the total trained to 2,744. SafeTALK helps participants become alert to suicide, and they are better prepared to connect persons with thoughts of suicide to appropriate resources. (Note: This training is only offered in-person. Numbers have been lower than expected due to limitations imposed by COVID-19 guidelines.)</w:t>
      </w:r>
    </w:p>
    <w:p w14:paraId="243396D1" w14:textId="77777777" w:rsidR="00F4298E" w:rsidRPr="00F4298E" w:rsidRDefault="00F4298E" w:rsidP="00F4298E">
      <w:pPr>
        <w:pStyle w:val="NoSpacing"/>
        <w:ind w:left="540"/>
        <w:rPr>
          <w:rFonts w:ascii="Times New Roman" w:eastAsia="Arial" w:hAnsi="Times New Roman"/>
          <w:sz w:val="24"/>
          <w:szCs w:val="24"/>
        </w:rPr>
      </w:pPr>
    </w:p>
    <w:p w14:paraId="70D743EA" w14:textId="77777777" w:rsidR="00F4298E" w:rsidRPr="00F4298E" w:rsidRDefault="00F4298E" w:rsidP="00F4298E">
      <w:pPr>
        <w:pStyle w:val="NoSpacing"/>
        <w:ind w:left="540"/>
        <w:rPr>
          <w:rFonts w:ascii="Times New Roman" w:eastAsia="Arial" w:hAnsi="Times New Roman"/>
          <w:sz w:val="24"/>
          <w:szCs w:val="24"/>
        </w:rPr>
      </w:pPr>
    </w:p>
    <w:p w14:paraId="171795DF" w14:textId="6A2D8F17" w:rsidR="00276949" w:rsidRPr="00C15AD9" w:rsidRDefault="00276949" w:rsidP="009054AA">
      <w:pPr>
        <w:pStyle w:val="NoSpacing"/>
        <w:numPr>
          <w:ilvl w:val="0"/>
          <w:numId w:val="59"/>
        </w:numPr>
        <w:ind w:left="540"/>
        <w:rPr>
          <w:rFonts w:ascii="Times New Roman" w:eastAsia="Arial" w:hAnsi="Times New Roman"/>
          <w:sz w:val="24"/>
          <w:szCs w:val="24"/>
        </w:rPr>
      </w:pPr>
      <w:r w:rsidRPr="00C15AD9">
        <w:rPr>
          <w:rFonts w:ascii="Times New Roman" w:hAnsi="Times New Roman"/>
          <w:sz w:val="24"/>
          <w:szCs w:val="24"/>
        </w:rPr>
        <w:t xml:space="preserve">Mental Health First Aid (MHFA) – </w:t>
      </w:r>
      <w:r w:rsidR="00427D5D" w:rsidRPr="00C15AD9">
        <w:rPr>
          <w:rFonts w:ascii="Times New Roman" w:hAnsi="Times New Roman"/>
          <w:sz w:val="24"/>
          <w:szCs w:val="24"/>
        </w:rPr>
        <w:t>Trained 86,152 individuals in the MHFA course to date.</w:t>
      </w:r>
      <w:r w:rsidRPr="00C15AD9">
        <w:rPr>
          <w:rFonts w:ascii="Times New Roman" w:hAnsi="Times New Roman"/>
          <w:sz w:val="24"/>
          <w:szCs w:val="24"/>
        </w:rPr>
        <w:t xml:space="preserve"> </w:t>
      </w:r>
      <w:r w:rsidR="00427D5D" w:rsidRPr="00C15AD9">
        <w:rPr>
          <w:rFonts w:ascii="Times New Roman" w:hAnsi="Times New Roman"/>
          <w:sz w:val="24"/>
          <w:szCs w:val="24"/>
        </w:rPr>
        <w:t>MHFA has specific curriculums that are designed for target populations such as: adults, youth, higher education, public safety, older adults, rural communities, and Spanish (adult and youth) speaking audiences. This training has been in high demand by the higher education, youth serving and public safety sectors. Additionally, this training is available in-person and virtually.</w:t>
      </w:r>
    </w:p>
    <w:p w14:paraId="7531CC94" w14:textId="77777777" w:rsidR="00276949" w:rsidRPr="00C15AD9" w:rsidRDefault="00427D5D" w:rsidP="009054AA">
      <w:pPr>
        <w:pStyle w:val="NoSpacing"/>
        <w:numPr>
          <w:ilvl w:val="0"/>
          <w:numId w:val="59"/>
        </w:numPr>
        <w:ind w:left="540"/>
        <w:rPr>
          <w:rFonts w:ascii="Times New Roman" w:eastAsia="Arial" w:hAnsi="Times New Roman"/>
          <w:sz w:val="24"/>
          <w:szCs w:val="24"/>
        </w:rPr>
      </w:pPr>
      <w:r w:rsidRPr="00C15AD9">
        <w:rPr>
          <w:rFonts w:ascii="Times New Roman" w:hAnsi="Times New Roman"/>
          <w:sz w:val="24"/>
          <w:szCs w:val="24"/>
        </w:rPr>
        <w:t>Behavioral Health Equity</w:t>
      </w:r>
      <w:r w:rsidR="00276949" w:rsidRPr="00C15AD9">
        <w:rPr>
          <w:rFonts w:ascii="Times New Roman" w:hAnsi="Times New Roman"/>
          <w:sz w:val="24"/>
          <w:szCs w:val="24"/>
        </w:rPr>
        <w:t xml:space="preserve"> – </w:t>
      </w:r>
      <w:r w:rsidR="00CB22B5" w:rsidRPr="00C15AD9">
        <w:rPr>
          <w:rFonts w:ascii="Times New Roman" w:hAnsi="Times New Roman"/>
          <w:sz w:val="24"/>
          <w:szCs w:val="24"/>
        </w:rPr>
        <w:t>W</w:t>
      </w:r>
      <w:r w:rsidRPr="00C15AD9">
        <w:rPr>
          <w:rFonts w:ascii="Times New Roman" w:hAnsi="Times New Roman"/>
          <w:sz w:val="24"/>
          <w:szCs w:val="24"/>
        </w:rPr>
        <w:t xml:space="preserve">ith </w:t>
      </w:r>
      <w:r w:rsidR="00CB22B5" w:rsidRPr="00C15AD9">
        <w:rPr>
          <w:rFonts w:ascii="Times New Roman" w:hAnsi="Times New Roman"/>
          <w:sz w:val="24"/>
          <w:szCs w:val="24"/>
        </w:rPr>
        <w:t xml:space="preserve">the </w:t>
      </w:r>
      <w:r w:rsidRPr="00C15AD9">
        <w:rPr>
          <w:rFonts w:ascii="Times New Roman" w:hAnsi="Times New Roman"/>
          <w:sz w:val="24"/>
          <w:szCs w:val="24"/>
        </w:rPr>
        <w:t>VCU Center on Society and Health</w:t>
      </w:r>
      <w:r w:rsidR="00CB22B5" w:rsidRPr="00C15AD9">
        <w:rPr>
          <w:rFonts w:ascii="Times New Roman" w:hAnsi="Times New Roman"/>
          <w:sz w:val="24"/>
          <w:szCs w:val="24"/>
        </w:rPr>
        <w:t xml:space="preserve">, refined the behavioral health index </w:t>
      </w:r>
      <w:r w:rsidRPr="00C15AD9">
        <w:rPr>
          <w:rFonts w:ascii="Times New Roman" w:hAnsi="Times New Roman"/>
          <w:sz w:val="24"/>
          <w:szCs w:val="24"/>
        </w:rPr>
        <w:t xml:space="preserve">using </w:t>
      </w:r>
      <w:proofErr w:type="gramStart"/>
      <w:r w:rsidRPr="00C15AD9">
        <w:rPr>
          <w:rFonts w:ascii="Times New Roman" w:hAnsi="Times New Roman"/>
          <w:sz w:val="24"/>
          <w:szCs w:val="24"/>
        </w:rPr>
        <w:t xml:space="preserve">the </w:t>
      </w:r>
      <w:r w:rsidR="00CB22B5" w:rsidRPr="00C15AD9">
        <w:rPr>
          <w:rFonts w:ascii="Times New Roman" w:hAnsi="Times New Roman"/>
          <w:sz w:val="24"/>
          <w:szCs w:val="24"/>
        </w:rPr>
        <w:t>a</w:t>
      </w:r>
      <w:r w:rsidRPr="00C15AD9">
        <w:rPr>
          <w:rFonts w:ascii="Times New Roman" w:hAnsi="Times New Roman"/>
          <w:sz w:val="24"/>
          <w:szCs w:val="24"/>
        </w:rPr>
        <w:t>ll</w:t>
      </w:r>
      <w:proofErr w:type="gramEnd"/>
      <w:r w:rsidRPr="00C15AD9">
        <w:rPr>
          <w:rFonts w:ascii="Times New Roman" w:hAnsi="Times New Roman"/>
          <w:sz w:val="24"/>
          <w:szCs w:val="24"/>
        </w:rPr>
        <w:t xml:space="preserve"> </w:t>
      </w:r>
      <w:r w:rsidR="00CB22B5" w:rsidRPr="00C15AD9">
        <w:rPr>
          <w:rFonts w:ascii="Times New Roman" w:hAnsi="Times New Roman"/>
          <w:sz w:val="24"/>
          <w:szCs w:val="24"/>
        </w:rPr>
        <w:t>c</w:t>
      </w:r>
      <w:r w:rsidRPr="00C15AD9">
        <w:rPr>
          <w:rFonts w:ascii="Times New Roman" w:hAnsi="Times New Roman"/>
          <w:sz w:val="24"/>
          <w:szCs w:val="24"/>
        </w:rPr>
        <w:t xml:space="preserve">laims </w:t>
      </w:r>
      <w:r w:rsidR="00CB22B5" w:rsidRPr="00C15AD9">
        <w:rPr>
          <w:rFonts w:ascii="Times New Roman" w:hAnsi="Times New Roman"/>
          <w:sz w:val="24"/>
          <w:szCs w:val="24"/>
        </w:rPr>
        <w:t>p</w:t>
      </w:r>
      <w:r w:rsidRPr="00C15AD9">
        <w:rPr>
          <w:rFonts w:ascii="Times New Roman" w:hAnsi="Times New Roman"/>
          <w:sz w:val="24"/>
          <w:szCs w:val="24"/>
        </w:rPr>
        <w:t xml:space="preserve">ayer </w:t>
      </w:r>
      <w:r w:rsidR="00CB22B5" w:rsidRPr="00C15AD9">
        <w:rPr>
          <w:rFonts w:ascii="Times New Roman" w:hAnsi="Times New Roman"/>
          <w:sz w:val="24"/>
          <w:szCs w:val="24"/>
        </w:rPr>
        <w:t>d</w:t>
      </w:r>
      <w:r w:rsidRPr="00C15AD9">
        <w:rPr>
          <w:rFonts w:ascii="Times New Roman" w:hAnsi="Times New Roman"/>
          <w:sz w:val="24"/>
          <w:szCs w:val="24"/>
        </w:rPr>
        <w:t>atabase to</w:t>
      </w:r>
      <w:r w:rsidR="00CB22B5" w:rsidRPr="00C15AD9">
        <w:rPr>
          <w:rFonts w:ascii="Times New Roman" w:hAnsi="Times New Roman"/>
          <w:sz w:val="24"/>
          <w:szCs w:val="24"/>
        </w:rPr>
        <w:t xml:space="preserve"> </w:t>
      </w:r>
      <w:r w:rsidRPr="00C15AD9">
        <w:rPr>
          <w:rFonts w:ascii="Times New Roman" w:hAnsi="Times New Roman"/>
          <w:sz w:val="24"/>
          <w:szCs w:val="24"/>
        </w:rPr>
        <w:t>determine the prevalence of SMI, SED, and SUD by zip code.</w:t>
      </w:r>
      <w:r w:rsidR="00276949" w:rsidRPr="00C15AD9">
        <w:rPr>
          <w:rFonts w:ascii="Times New Roman" w:hAnsi="Times New Roman"/>
          <w:sz w:val="24"/>
          <w:szCs w:val="24"/>
        </w:rPr>
        <w:t xml:space="preserve"> </w:t>
      </w:r>
      <w:r w:rsidR="00CB22B5" w:rsidRPr="00C15AD9">
        <w:rPr>
          <w:rFonts w:ascii="Times New Roman" w:hAnsi="Times New Roman"/>
          <w:sz w:val="24"/>
          <w:szCs w:val="24"/>
        </w:rPr>
        <w:t>Conducted t</w:t>
      </w:r>
      <w:r w:rsidRPr="00C15AD9">
        <w:rPr>
          <w:rFonts w:ascii="Times New Roman" w:hAnsi="Times New Roman"/>
          <w:sz w:val="24"/>
          <w:szCs w:val="24"/>
        </w:rPr>
        <w:t xml:space="preserve">rainings </w:t>
      </w:r>
      <w:r w:rsidR="00CB22B5" w:rsidRPr="00C15AD9">
        <w:rPr>
          <w:rFonts w:ascii="Times New Roman" w:hAnsi="Times New Roman"/>
          <w:sz w:val="24"/>
          <w:szCs w:val="24"/>
        </w:rPr>
        <w:t xml:space="preserve">on seven topics </w:t>
      </w:r>
      <w:r w:rsidRPr="00C15AD9">
        <w:rPr>
          <w:rFonts w:ascii="Times New Roman" w:hAnsi="Times New Roman"/>
          <w:sz w:val="24"/>
          <w:szCs w:val="24"/>
        </w:rPr>
        <w:t>during FY 202</w:t>
      </w:r>
      <w:r w:rsidR="00CB22B5" w:rsidRPr="00C15AD9">
        <w:rPr>
          <w:rFonts w:ascii="Times New Roman" w:hAnsi="Times New Roman"/>
          <w:sz w:val="24"/>
          <w:szCs w:val="24"/>
        </w:rPr>
        <w:t>2.</w:t>
      </w:r>
      <w:r w:rsidR="00276949" w:rsidRPr="00C15AD9">
        <w:rPr>
          <w:rFonts w:ascii="Times New Roman" w:hAnsi="Times New Roman"/>
          <w:sz w:val="24"/>
          <w:szCs w:val="24"/>
        </w:rPr>
        <w:t xml:space="preserve"> </w:t>
      </w:r>
      <w:r w:rsidR="00CB22B5" w:rsidRPr="00C15AD9">
        <w:rPr>
          <w:rFonts w:ascii="Times New Roman" w:hAnsi="Times New Roman"/>
          <w:sz w:val="24"/>
          <w:szCs w:val="24"/>
        </w:rPr>
        <w:t>A</w:t>
      </w:r>
      <w:r w:rsidRPr="00C15AD9">
        <w:rPr>
          <w:rFonts w:ascii="Times New Roman" w:hAnsi="Times New Roman"/>
          <w:sz w:val="24"/>
          <w:szCs w:val="24"/>
        </w:rPr>
        <w:t>warded $250,000 in</w:t>
      </w:r>
      <w:r w:rsidR="00CB22B5" w:rsidRPr="00C15AD9">
        <w:rPr>
          <w:rFonts w:ascii="Times New Roman" w:hAnsi="Times New Roman"/>
          <w:sz w:val="24"/>
          <w:szCs w:val="24"/>
        </w:rPr>
        <w:t xml:space="preserve"> behavioral health equity grants </w:t>
      </w:r>
      <w:r w:rsidRPr="00C15AD9">
        <w:rPr>
          <w:rFonts w:ascii="Times New Roman" w:hAnsi="Times New Roman"/>
          <w:sz w:val="24"/>
          <w:szCs w:val="24"/>
        </w:rPr>
        <w:t>for the 2022 cycle to 13 CSBs and 13 community organizations.</w:t>
      </w:r>
    </w:p>
    <w:p w14:paraId="492454A8" w14:textId="77777777" w:rsidR="00450EB1" w:rsidRPr="00C15AD9" w:rsidRDefault="00427D5D" w:rsidP="009054AA">
      <w:pPr>
        <w:pStyle w:val="NoSpacing"/>
        <w:numPr>
          <w:ilvl w:val="0"/>
          <w:numId w:val="59"/>
        </w:numPr>
        <w:ind w:left="540"/>
        <w:rPr>
          <w:rFonts w:ascii="Times New Roman" w:eastAsia="Arial" w:hAnsi="Times New Roman"/>
          <w:sz w:val="24"/>
          <w:szCs w:val="24"/>
        </w:rPr>
      </w:pPr>
      <w:r w:rsidRPr="00C15AD9">
        <w:rPr>
          <w:rFonts w:ascii="Times New Roman" w:hAnsi="Times New Roman"/>
          <w:sz w:val="24"/>
          <w:szCs w:val="24"/>
        </w:rPr>
        <w:t xml:space="preserve">Virginia Refugee Healing Partnership </w:t>
      </w:r>
      <w:r w:rsidR="00276949" w:rsidRPr="00C15AD9">
        <w:rPr>
          <w:rFonts w:ascii="Times New Roman" w:hAnsi="Times New Roman"/>
          <w:sz w:val="24"/>
          <w:szCs w:val="24"/>
        </w:rPr>
        <w:t>– This partnership</w:t>
      </w:r>
      <w:r w:rsidRPr="00C15AD9">
        <w:rPr>
          <w:rFonts w:ascii="Times New Roman" w:hAnsi="Times New Roman"/>
          <w:sz w:val="24"/>
          <w:szCs w:val="24"/>
        </w:rPr>
        <w:t>, made possible by a grant awarded from the</w:t>
      </w:r>
      <w:r w:rsidR="00276949" w:rsidRPr="00C15AD9">
        <w:rPr>
          <w:rFonts w:ascii="Times New Roman" w:hAnsi="Times New Roman"/>
          <w:sz w:val="24"/>
          <w:szCs w:val="24"/>
        </w:rPr>
        <w:t xml:space="preserve"> </w:t>
      </w:r>
      <w:r w:rsidRPr="00C15AD9">
        <w:rPr>
          <w:rFonts w:ascii="Times New Roman" w:hAnsi="Times New Roman"/>
          <w:sz w:val="24"/>
          <w:szCs w:val="24"/>
        </w:rPr>
        <w:t>Department of Social Services, held behavioral health interpreter training attended by 125</w:t>
      </w:r>
      <w:r w:rsidR="00276949" w:rsidRPr="00C15AD9">
        <w:rPr>
          <w:rFonts w:ascii="Times New Roman" w:hAnsi="Times New Roman"/>
          <w:sz w:val="24"/>
          <w:szCs w:val="24"/>
        </w:rPr>
        <w:t xml:space="preserve"> </w:t>
      </w:r>
      <w:r w:rsidRPr="00C15AD9">
        <w:rPr>
          <w:rFonts w:ascii="Times New Roman" w:hAnsi="Times New Roman"/>
          <w:sz w:val="24"/>
          <w:szCs w:val="24"/>
        </w:rPr>
        <w:t>behavioral health interpreters, 22 of them are trainers. The Behavioral Health Interpreting</w:t>
      </w:r>
      <w:r w:rsidR="00276949" w:rsidRPr="00C15AD9">
        <w:rPr>
          <w:rFonts w:ascii="Times New Roman" w:hAnsi="Times New Roman"/>
          <w:sz w:val="24"/>
          <w:szCs w:val="24"/>
        </w:rPr>
        <w:t xml:space="preserve"> </w:t>
      </w:r>
      <w:r w:rsidRPr="00C15AD9">
        <w:rPr>
          <w:rFonts w:ascii="Times New Roman" w:hAnsi="Times New Roman"/>
          <w:sz w:val="24"/>
          <w:szCs w:val="24"/>
        </w:rPr>
        <w:t>Curriculum was published in June 2022</w:t>
      </w:r>
      <w:r w:rsidR="00276949" w:rsidRPr="00C15AD9">
        <w:rPr>
          <w:rFonts w:ascii="Times New Roman" w:hAnsi="Times New Roman"/>
          <w:sz w:val="24"/>
          <w:szCs w:val="24"/>
        </w:rPr>
        <w:t xml:space="preserve">, and new curriculum was developed on </w:t>
      </w:r>
      <w:proofErr w:type="gramStart"/>
      <w:r w:rsidR="00276949" w:rsidRPr="00C15AD9">
        <w:rPr>
          <w:rFonts w:ascii="Times New Roman" w:hAnsi="Times New Roman"/>
          <w:sz w:val="24"/>
          <w:szCs w:val="24"/>
        </w:rPr>
        <w:t>a</w:t>
      </w:r>
      <w:proofErr w:type="gramEnd"/>
      <w:r w:rsidR="00276949" w:rsidRPr="00C15AD9">
        <w:rPr>
          <w:rFonts w:ascii="Times New Roman" w:hAnsi="Times New Roman"/>
          <w:sz w:val="24"/>
          <w:szCs w:val="24"/>
        </w:rPr>
        <w:t xml:space="preserve"> </w:t>
      </w:r>
      <w:r w:rsidRPr="00C15AD9">
        <w:rPr>
          <w:rFonts w:ascii="Times New Roman" w:hAnsi="Times New Roman"/>
          <w:sz w:val="24"/>
          <w:szCs w:val="24"/>
        </w:rPr>
        <w:t xml:space="preserve">interpreting course for </w:t>
      </w:r>
      <w:r w:rsidR="00276949" w:rsidRPr="00C15AD9">
        <w:rPr>
          <w:rFonts w:ascii="Times New Roman" w:hAnsi="Times New Roman"/>
          <w:sz w:val="24"/>
          <w:szCs w:val="24"/>
        </w:rPr>
        <w:t>“</w:t>
      </w:r>
      <w:r w:rsidRPr="00C15AD9">
        <w:rPr>
          <w:rFonts w:ascii="Times New Roman" w:hAnsi="Times New Roman"/>
          <w:sz w:val="24"/>
          <w:szCs w:val="24"/>
        </w:rPr>
        <w:t>Lay Persons and Pathways to Wellness.</w:t>
      </w:r>
      <w:r w:rsidR="00276949" w:rsidRPr="00C15AD9">
        <w:rPr>
          <w:rFonts w:ascii="Times New Roman" w:hAnsi="Times New Roman"/>
          <w:sz w:val="24"/>
          <w:szCs w:val="24"/>
        </w:rPr>
        <w:t xml:space="preserve">” This initiative also held a training on trauma-informed care for 167 and provided nine mini-grants for youth substance use prevention training. Finally, this initiative conducted a statewide needs analysis survey on refugees. Survey results were shared to nine </w:t>
      </w:r>
      <w:r w:rsidRPr="00C15AD9">
        <w:rPr>
          <w:rFonts w:ascii="Times New Roman" w:hAnsi="Times New Roman"/>
          <w:sz w:val="24"/>
          <w:szCs w:val="24"/>
        </w:rPr>
        <w:t>refugee resettlement agencies, 47 VRHP stakeholders, and 32 organizations across the state</w:t>
      </w:r>
      <w:r w:rsidR="00276949" w:rsidRPr="00C15AD9">
        <w:rPr>
          <w:rFonts w:ascii="Times New Roman" w:hAnsi="Times New Roman"/>
          <w:sz w:val="24"/>
          <w:szCs w:val="24"/>
        </w:rPr>
        <w:t>.</w:t>
      </w:r>
    </w:p>
    <w:p w14:paraId="3A59E3AE" w14:textId="47AE22AA" w:rsidR="00450EB1" w:rsidRPr="00C15AD9" w:rsidRDefault="00427D5D" w:rsidP="009054AA">
      <w:pPr>
        <w:pStyle w:val="NoSpacing"/>
        <w:numPr>
          <w:ilvl w:val="0"/>
          <w:numId w:val="59"/>
        </w:numPr>
        <w:ind w:left="540"/>
        <w:rPr>
          <w:rFonts w:ascii="Times New Roman" w:eastAsia="Arial" w:hAnsi="Times New Roman"/>
          <w:sz w:val="24"/>
          <w:szCs w:val="24"/>
        </w:rPr>
      </w:pPr>
      <w:r w:rsidRPr="00C15AD9">
        <w:rPr>
          <w:rFonts w:ascii="Times New Roman" w:hAnsi="Times New Roman"/>
          <w:sz w:val="24"/>
          <w:szCs w:val="24"/>
        </w:rPr>
        <w:t>Problem Gambling Prevention</w:t>
      </w:r>
      <w:r w:rsidR="00450EB1" w:rsidRPr="00C15AD9">
        <w:rPr>
          <w:rFonts w:ascii="Times New Roman" w:hAnsi="Times New Roman"/>
          <w:sz w:val="24"/>
          <w:szCs w:val="24"/>
        </w:rPr>
        <w:t xml:space="preserve"> – </w:t>
      </w:r>
      <w:r w:rsidRPr="00C15AD9">
        <w:rPr>
          <w:rFonts w:ascii="Times New Roman" w:hAnsi="Times New Roman"/>
          <w:sz w:val="24"/>
          <w:szCs w:val="24"/>
        </w:rPr>
        <w:t>DBHDS is tasked to provide strategies to prevent problem gambling. This effort is</w:t>
      </w:r>
      <w:r w:rsidR="00450EB1" w:rsidRPr="00C15AD9">
        <w:rPr>
          <w:rFonts w:ascii="Times New Roman" w:hAnsi="Times New Roman"/>
          <w:sz w:val="24"/>
          <w:szCs w:val="24"/>
        </w:rPr>
        <w:t xml:space="preserve"> </w:t>
      </w:r>
      <w:r w:rsidRPr="00C15AD9">
        <w:rPr>
          <w:rFonts w:ascii="Times New Roman" w:hAnsi="Times New Roman"/>
          <w:sz w:val="24"/>
          <w:szCs w:val="24"/>
        </w:rPr>
        <w:t xml:space="preserve">supported by a percentage of tax revenues generated through skills games, sports betting and </w:t>
      </w:r>
      <w:proofErr w:type="gramStart"/>
      <w:r w:rsidRPr="00C15AD9">
        <w:rPr>
          <w:rFonts w:ascii="Times New Roman" w:hAnsi="Times New Roman"/>
          <w:sz w:val="24"/>
          <w:szCs w:val="24"/>
        </w:rPr>
        <w:t>in the near future</w:t>
      </w:r>
      <w:proofErr w:type="gramEnd"/>
      <w:r w:rsidRPr="00C15AD9">
        <w:rPr>
          <w:rFonts w:ascii="Times New Roman" w:hAnsi="Times New Roman"/>
          <w:sz w:val="24"/>
          <w:szCs w:val="24"/>
        </w:rPr>
        <w:t xml:space="preserve">, casinos pursuant to 37.2-314.2. </w:t>
      </w:r>
      <w:r w:rsidR="00F4298E" w:rsidRPr="00C15AD9">
        <w:rPr>
          <w:rFonts w:ascii="Times New Roman" w:hAnsi="Times New Roman"/>
          <w:sz w:val="24"/>
          <w:szCs w:val="24"/>
        </w:rPr>
        <w:t>Collaborations</w:t>
      </w:r>
      <w:r w:rsidR="00450EB1" w:rsidRPr="00C15AD9">
        <w:rPr>
          <w:rFonts w:ascii="Times New Roman" w:hAnsi="Times New Roman"/>
          <w:sz w:val="24"/>
          <w:szCs w:val="24"/>
        </w:rPr>
        <w:t xml:space="preserve"> are underway with VDH, the Virginia Lottery, Va. Department of Agriculture and Consumer Services Charitable Gaming unit, the VA Council on Problem Gambling, and Virginia Health Information. D</w:t>
      </w:r>
      <w:r w:rsidRPr="00C15AD9">
        <w:rPr>
          <w:rFonts w:ascii="Times New Roman" w:hAnsi="Times New Roman"/>
          <w:sz w:val="24"/>
          <w:szCs w:val="24"/>
        </w:rPr>
        <w:t xml:space="preserve">ata was collected </w:t>
      </w:r>
      <w:r w:rsidR="00450EB1" w:rsidRPr="00C15AD9">
        <w:rPr>
          <w:rFonts w:ascii="Times New Roman" w:hAnsi="Times New Roman"/>
          <w:sz w:val="24"/>
          <w:szCs w:val="24"/>
        </w:rPr>
        <w:t xml:space="preserve">by DBHDS </w:t>
      </w:r>
      <w:r w:rsidRPr="00C15AD9">
        <w:rPr>
          <w:rFonts w:ascii="Times New Roman" w:hAnsi="Times New Roman"/>
          <w:sz w:val="24"/>
          <w:szCs w:val="24"/>
        </w:rPr>
        <w:t>and all</w:t>
      </w:r>
      <w:r w:rsidR="00450EB1" w:rsidRPr="00C15AD9">
        <w:rPr>
          <w:rFonts w:ascii="Times New Roman" w:hAnsi="Times New Roman"/>
          <w:sz w:val="24"/>
          <w:szCs w:val="24"/>
        </w:rPr>
        <w:t xml:space="preserve"> </w:t>
      </w:r>
      <w:r w:rsidRPr="00C15AD9">
        <w:rPr>
          <w:rFonts w:ascii="Times New Roman" w:hAnsi="Times New Roman"/>
          <w:sz w:val="24"/>
          <w:szCs w:val="24"/>
        </w:rPr>
        <w:t>CSBs</w:t>
      </w:r>
      <w:r w:rsidR="00450EB1" w:rsidRPr="00C15AD9">
        <w:rPr>
          <w:rFonts w:ascii="Times New Roman" w:hAnsi="Times New Roman"/>
          <w:sz w:val="24"/>
          <w:szCs w:val="24"/>
        </w:rPr>
        <w:t xml:space="preserve"> as part of a needs assessment:</w:t>
      </w:r>
    </w:p>
    <w:p w14:paraId="71AC9492" w14:textId="77777777" w:rsidR="00450EB1" w:rsidRPr="00C15AD9" w:rsidRDefault="00427D5D" w:rsidP="009054AA">
      <w:pPr>
        <w:pStyle w:val="NoSpacing"/>
        <w:numPr>
          <w:ilvl w:val="0"/>
          <w:numId w:val="58"/>
        </w:numPr>
        <w:ind w:left="1080"/>
        <w:rPr>
          <w:rFonts w:ascii="Times New Roman" w:eastAsia="Arial" w:hAnsi="Times New Roman"/>
          <w:sz w:val="24"/>
          <w:szCs w:val="24"/>
        </w:rPr>
      </w:pPr>
      <w:r w:rsidRPr="00C15AD9">
        <w:rPr>
          <w:rFonts w:ascii="Times New Roman" w:hAnsi="Times New Roman"/>
          <w:sz w:val="24"/>
          <w:szCs w:val="24"/>
        </w:rPr>
        <w:t xml:space="preserve">Over 5,100 young adult surveys were </w:t>
      </w:r>
      <w:proofErr w:type="gramStart"/>
      <w:r w:rsidRPr="00C15AD9">
        <w:rPr>
          <w:rFonts w:ascii="Times New Roman" w:hAnsi="Times New Roman"/>
          <w:sz w:val="24"/>
          <w:szCs w:val="24"/>
        </w:rPr>
        <w:t>collected;</w:t>
      </w:r>
      <w:proofErr w:type="gramEnd"/>
    </w:p>
    <w:p w14:paraId="70FB8B2E" w14:textId="77777777" w:rsidR="00450EB1" w:rsidRPr="00C15AD9" w:rsidRDefault="00427D5D" w:rsidP="009054AA">
      <w:pPr>
        <w:pStyle w:val="NoSpacing"/>
        <w:numPr>
          <w:ilvl w:val="0"/>
          <w:numId w:val="58"/>
        </w:numPr>
        <w:ind w:left="1080"/>
        <w:rPr>
          <w:rFonts w:ascii="Times New Roman" w:eastAsia="Arial" w:hAnsi="Times New Roman"/>
          <w:sz w:val="24"/>
          <w:szCs w:val="24"/>
        </w:rPr>
      </w:pPr>
      <w:r w:rsidRPr="00C15AD9">
        <w:rPr>
          <w:rFonts w:ascii="Times New Roman" w:hAnsi="Times New Roman"/>
          <w:sz w:val="24"/>
          <w:szCs w:val="24"/>
        </w:rPr>
        <w:t xml:space="preserve">Over 1,200 scans of the environment were </w:t>
      </w:r>
      <w:proofErr w:type="gramStart"/>
      <w:r w:rsidRPr="00C15AD9">
        <w:rPr>
          <w:rFonts w:ascii="Times New Roman" w:hAnsi="Times New Roman"/>
          <w:sz w:val="24"/>
          <w:szCs w:val="24"/>
        </w:rPr>
        <w:t>completed;</w:t>
      </w:r>
      <w:proofErr w:type="gramEnd"/>
    </w:p>
    <w:p w14:paraId="3D008C28" w14:textId="55F3471A" w:rsidR="00427D5D" w:rsidRPr="00C15AD9" w:rsidRDefault="00427D5D" w:rsidP="009054AA">
      <w:pPr>
        <w:pStyle w:val="NoSpacing"/>
        <w:numPr>
          <w:ilvl w:val="0"/>
          <w:numId w:val="58"/>
        </w:numPr>
        <w:ind w:left="1080"/>
        <w:rPr>
          <w:rFonts w:ascii="Times New Roman" w:eastAsia="Arial" w:hAnsi="Times New Roman"/>
          <w:sz w:val="24"/>
          <w:szCs w:val="24"/>
        </w:rPr>
      </w:pPr>
      <w:r w:rsidRPr="00C15AD9">
        <w:rPr>
          <w:rFonts w:ascii="Times New Roman" w:hAnsi="Times New Roman"/>
          <w:sz w:val="24"/>
          <w:szCs w:val="24"/>
        </w:rPr>
        <w:t>All 40 CSBs are conducting Community Readiness Assessments</w:t>
      </w:r>
      <w:r w:rsidR="00450EB1" w:rsidRPr="00C15AD9">
        <w:rPr>
          <w:rFonts w:ascii="Times New Roman" w:hAnsi="Times New Roman"/>
          <w:sz w:val="24"/>
          <w:szCs w:val="24"/>
        </w:rPr>
        <w:t>.</w:t>
      </w:r>
    </w:p>
    <w:p w14:paraId="2D2CA78D" w14:textId="0D97A810" w:rsidR="00450EB1" w:rsidRPr="00450EB1" w:rsidRDefault="00450EB1" w:rsidP="00450EB1">
      <w:pPr>
        <w:pStyle w:val="NoSpacing"/>
        <w:ind w:left="540"/>
        <w:rPr>
          <w:rFonts w:ascii="Times New Roman" w:hAnsi="Times New Roman"/>
          <w:sz w:val="24"/>
          <w:szCs w:val="24"/>
        </w:rPr>
      </w:pPr>
      <w:r w:rsidRPr="00C15AD9">
        <w:rPr>
          <w:rFonts w:ascii="Times New Roman" w:hAnsi="Times New Roman"/>
          <w:sz w:val="24"/>
          <w:szCs w:val="24"/>
        </w:rPr>
        <w:t>In addition, the DBHDS Office of Recovery established a steering committee of Peer Recovery Specialists with lived experiences to offer expert opinion</w:t>
      </w:r>
      <w:r w:rsidRPr="00450EB1">
        <w:rPr>
          <w:rFonts w:ascii="Times New Roman" w:hAnsi="Times New Roman"/>
          <w:sz w:val="24"/>
          <w:szCs w:val="24"/>
        </w:rPr>
        <w:t xml:space="preserve"> on to how grow problem gambling awareness and recovery skills with the PRS workforce. The office developed a contract with VCU to include a treatment provider network within local communities, peer recovery network focused on gaming and gambling; continuing education and training on evidence- based practices for providers.</w:t>
      </w:r>
    </w:p>
    <w:p w14:paraId="5B65CD13" w14:textId="77777777" w:rsidR="00F4298E" w:rsidRDefault="00C15AD9" w:rsidP="00CB22B5">
      <w:pPr>
        <w:rPr>
          <w:b/>
          <w:bCs/>
          <w:i/>
          <w:iCs/>
        </w:rPr>
      </w:pPr>
      <w:r>
        <w:rPr>
          <w:b/>
          <w:bCs/>
          <w:i/>
          <w:iCs/>
        </w:rPr>
        <w:lastRenderedPageBreak/>
        <w:br/>
      </w:r>
    </w:p>
    <w:p w14:paraId="53F750A0" w14:textId="7E74A188" w:rsidR="00CB22B5" w:rsidRPr="00F4298E" w:rsidRDefault="00E51219" w:rsidP="00CB22B5">
      <w:pPr>
        <w:rPr>
          <w:sz w:val="26"/>
          <w:szCs w:val="26"/>
        </w:rPr>
      </w:pPr>
      <w:r w:rsidRPr="00F4298E">
        <w:rPr>
          <w:b/>
          <w:bCs/>
          <w:i/>
          <w:iCs/>
          <w:sz w:val="26"/>
          <w:szCs w:val="26"/>
        </w:rPr>
        <w:t>Substance Use Disorders</w:t>
      </w:r>
    </w:p>
    <w:p w14:paraId="4B1AC33D" w14:textId="71B5A59C" w:rsidR="00CB22B5" w:rsidRPr="00E51219" w:rsidRDefault="00E51219" w:rsidP="00E51219">
      <w:pPr>
        <w:rPr>
          <w:color w:val="000000" w:themeColor="text1"/>
        </w:rPr>
      </w:pPr>
      <w:r>
        <w:rPr>
          <w:color w:val="000000" w:themeColor="text1"/>
        </w:rPr>
        <w:t>DBHDS c</w:t>
      </w:r>
      <w:r w:rsidR="00CB22B5" w:rsidRPr="00E51219">
        <w:rPr>
          <w:color w:val="000000" w:themeColor="text1"/>
        </w:rPr>
        <w:t xml:space="preserve">ontinually received a federal State Opioid Response (SOR) grant beginning October 2018 through September 2023 for prevention, treatment, and recovery, plus a supplementary onetime allocation of $8.7 million. In FY 2017 and FY 2018, Virginia received $19.4 million. From FY 2018 to FY 2020, Virginia received $67.1 million. In FY 2021 and 2022, Virginia received $27.6 </w:t>
      </w:r>
      <w:proofErr w:type="gramStart"/>
      <w:r w:rsidR="00CB22B5" w:rsidRPr="00E51219">
        <w:rPr>
          <w:color w:val="000000" w:themeColor="text1"/>
        </w:rPr>
        <w:t>million</w:t>
      </w:r>
      <w:proofErr w:type="gramEnd"/>
      <w:r w:rsidR="00CB22B5" w:rsidRPr="00E51219">
        <w:rPr>
          <w:color w:val="000000" w:themeColor="text1"/>
        </w:rPr>
        <w:t xml:space="preserve"> and funds are used for the following:</w:t>
      </w:r>
    </w:p>
    <w:p w14:paraId="5CC0E568" w14:textId="77777777" w:rsidR="00CB22B5" w:rsidRPr="00E56E46" w:rsidRDefault="00CB22B5" w:rsidP="009054AA">
      <w:pPr>
        <w:pStyle w:val="ListParagraph"/>
        <w:numPr>
          <w:ilvl w:val="0"/>
          <w:numId w:val="20"/>
        </w:numPr>
        <w:spacing w:line="240" w:lineRule="auto"/>
        <w:ind w:left="54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Prevention SOR grant accomplishments included:</w:t>
      </w:r>
    </w:p>
    <w:p w14:paraId="6F2DB659" w14:textId="77777777" w:rsidR="00CB22B5" w:rsidRPr="00E56E46" w:rsidRDefault="00CB22B5" w:rsidP="009054AA">
      <w:pPr>
        <w:pStyle w:val="ListParagraph"/>
        <w:numPr>
          <w:ilvl w:val="2"/>
          <w:numId w:val="56"/>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Increased the capacity for communities to prevent prescription drug and heroin overdoses. Thirty-eight CSBs worked with OMNI Institute to build evaluation capacity through logic model development and data-driven strategy selection using national, state, and local data.</w:t>
      </w:r>
    </w:p>
    <w:p w14:paraId="47B95FEE" w14:textId="77777777" w:rsidR="00CB22B5" w:rsidRPr="00E56E46" w:rsidRDefault="00CB22B5" w:rsidP="009054AA">
      <w:pPr>
        <w:pStyle w:val="ListParagraph"/>
        <w:numPr>
          <w:ilvl w:val="2"/>
          <w:numId w:val="56"/>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Increased community awareness of local opioid overdose problems. Thirty-eight CSBs developed prevention messaging with input from coalitions and community partners, with varied content and delivery methods depending on the identified needs of each community.</w:t>
      </w:r>
    </w:p>
    <w:p w14:paraId="2DA20102" w14:textId="77777777" w:rsidR="00CB22B5" w:rsidRPr="00E56E46" w:rsidRDefault="00CB22B5" w:rsidP="009054AA">
      <w:pPr>
        <w:pStyle w:val="ListParagraph"/>
        <w:numPr>
          <w:ilvl w:val="2"/>
          <w:numId w:val="56"/>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Increased the number of safe storage and disposal efforts to decrease the availability of prescription drugs for misuse. These efforts included distribution of drug deactivation packets, prescription drug lockboxes, and smart pill bottles. Communities also participated in drug take-back events and arranged for the installation of permanent drug drop boxes or drug incinerators.</w:t>
      </w:r>
    </w:p>
    <w:p w14:paraId="3B0D7182" w14:textId="77777777" w:rsidR="00CB22B5" w:rsidRPr="00E56E46" w:rsidRDefault="00CB22B5" w:rsidP="009054AA">
      <w:pPr>
        <w:pStyle w:val="ListParagraph"/>
        <w:numPr>
          <w:ilvl w:val="0"/>
          <w:numId w:val="20"/>
        </w:numPr>
        <w:spacing w:line="240" w:lineRule="auto"/>
        <w:ind w:left="54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Treatment SOR grant accomplishments included:</w:t>
      </w:r>
    </w:p>
    <w:p w14:paraId="0DC86285" w14:textId="77777777" w:rsidR="00CB22B5" w:rsidRPr="00E56E46" w:rsidRDefault="00CB22B5" w:rsidP="009054AA">
      <w:pPr>
        <w:pStyle w:val="ListParagraph"/>
        <w:numPr>
          <w:ilvl w:val="2"/>
          <w:numId w:val="57"/>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 xml:space="preserve">Increased the number of individuals engaged in treatment. In 2017, 18 of the 40 CSBs across Virginia were offering MAT services. SOR funds helped to expand Medicated Assisted Treatment (MAT) coverage to all 40 CSBs by the end of 2019, significantly increasing access to treatment for Virginians. Currently, all 40 CSBs either offer on-site MAT services or partner with an MAT provider. </w:t>
      </w:r>
    </w:p>
    <w:p w14:paraId="5B783712" w14:textId="77777777" w:rsidR="00CB22B5" w:rsidRPr="00E56E46" w:rsidRDefault="00CB22B5" w:rsidP="009054AA">
      <w:pPr>
        <w:pStyle w:val="ListParagraph"/>
        <w:numPr>
          <w:ilvl w:val="2"/>
          <w:numId w:val="57"/>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An average of 1,553 clients per quarter received MAT services.</w:t>
      </w:r>
    </w:p>
    <w:p w14:paraId="2DE59491" w14:textId="77777777" w:rsidR="00CB22B5" w:rsidRPr="00E56E46" w:rsidRDefault="00CB22B5" w:rsidP="009054AA">
      <w:pPr>
        <w:pStyle w:val="ListParagraph"/>
        <w:numPr>
          <w:ilvl w:val="2"/>
          <w:numId w:val="57"/>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An average of 2,253 clients per quarter received non-MAT services, including counseling, psychiatry, contingency management, and other therapeutic support.</w:t>
      </w:r>
    </w:p>
    <w:p w14:paraId="5B814F26" w14:textId="77777777" w:rsidR="00CB22B5" w:rsidRPr="00E56E46" w:rsidRDefault="00CB22B5" w:rsidP="009054AA">
      <w:pPr>
        <w:pStyle w:val="ListParagraph"/>
        <w:numPr>
          <w:ilvl w:val="2"/>
          <w:numId w:val="57"/>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Many treatment clients received other services, such as transitional housing, residential treatment, or wellness support.</w:t>
      </w:r>
    </w:p>
    <w:p w14:paraId="0AC641CB" w14:textId="77777777" w:rsidR="00CB22B5" w:rsidRPr="00E56E46" w:rsidRDefault="00CB22B5" w:rsidP="009054AA">
      <w:pPr>
        <w:pStyle w:val="ListParagraph"/>
        <w:numPr>
          <w:ilvl w:val="2"/>
          <w:numId w:val="57"/>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Expanded availability of wraparound supports that are critical to treatment success and overcoming treatment barriers, including transportation, childcare, and service vouchers. These services enable individuals to better adhere to treatment plans and achieve desired OUD treatment outcomes.</w:t>
      </w:r>
    </w:p>
    <w:p w14:paraId="72D6CC2E" w14:textId="77777777" w:rsidR="00CB22B5" w:rsidRPr="00E56E46" w:rsidRDefault="00CB22B5" w:rsidP="009054AA">
      <w:pPr>
        <w:pStyle w:val="ListParagraph"/>
        <w:numPr>
          <w:ilvl w:val="2"/>
          <w:numId w:val="57"/>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 xml:space="preserve">Expanded treatment services provided in justice settings. As of November 2020, 17 jails were working with CSBs to offer MAT services in their facilities. </w:t>
      </w:r>
    </w:p>
    <w:p w14:paraId="3563ECD5" w14:textId="77777777" w:rsidR="00CB22B5" w:rsidRPr="00E56E46" w:rsidRDefault="00CB22B5" w:rsidP="009054AA">
      <w:pPr>
        <w:pStyle w:val="ListParagraph"/>
        <w:numPr>
          <w:ilvl w:val="2"/>
          <w:numId w:val="57"/>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 xml:space="preserve">Distributed naloxone kits to local health departments, CSBs, harm reduction sites, and pharmacies. </w:t>
      </w:r>
    </w:p>
    <w:p w14:paraId="5581856A" w14:textId="77777777" w:rsidR="00CB22B5" w:rsidRPr="00E56E46" w:rsidRDefault="00CB22B5" w:rsidP="009054AA">
      <w:pPr>
        <w:pStyle w:val="ListParagraph"/>
        <w:numPr>
          <w:ilvl w:val="2"/>
          <w:numId w:val="57"/>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30,736 SOR-funded naloxone kits were distributed to local health departments, community members, CSBs, and first responders.</w:t>
      </w:r>
    </w:p>
    <w:p w14:paraId="64E80BC5" w14:textId="77777777" w:rsidR="00CB22B5" w:rsidRPr="00E56E46" w:rsidRDefault="00CB22B5" w:rsidP="009054AA">
      <w:pPr>
        <w:pStyle w:val="ListParagraph"/>
        <w:numPr>
          <w:ilvl w:val="1"/>
          <w:numId w:val="20"/>
        </w:numPr>
        <w:spacing w:line="240" w:lineRule="auto"/>
        <w:ind w:left="54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Recovery SOR grant accomplishments included:</w:t>
      </w:r>
    </w:p>
    <w:p w14:paraId="351883B9" w14:textId="77777777" w:rsidR="00CB22B5" w:rsidRPr="00E56E46" w:rsidRDefault="00CB22B5" w:rsidP="009054AA">
      <w:pPr>
        <w:pStyle w:val="ListParagraph"/>
        <w:numPr>
          <w:ilvl w:val="2"/>
          <w:numId w:val="60"/>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37,835 individuals received SOR-funded recovery services.</w:t>
      </w:r>
    </w:p>
    <w:p w14:paraId="08820D0D" w14:textId="77777777" w:rsidR="00CB22B5" w:rsidRPr="00E56E46" w:rsidRDefault="00CB22B5" w:rsidP="009054AA">
      <w:pPr>
        <w:pStyle w:val="ListParagraph"/>
        <w:numPr>
          <w:ilvl w:val="2"/>
          <w:numId w:val="60"/>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35 hospitals offer peer recovery services in emergency departments.</w:t>
      </w:r>
    </w:p>
    <w:p w14:paraId="003B7216" w14:textId="77777777" w:rsidR="00CB22B5" w:rsidRPr="00E56E46" w:rsidRDefault="00CB22B5" w:rsidP="009054AA">
      <w:pPr>
        <w:pStyle w:val="ListParagraph"/>
        <w:numPr>
          <w:ilvl w:val="2"/>
          <w:numId w:val="60"/>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lastRenderedPageBreak/>
        <w:t xml:space="preserve">Eight Virginia colleges and universities offer SOR-funded on-campus collegiate recovery communities as well as peer support services. </w:t>
      </w:r>
    </w:p>
    <w:p w14:paraId="0394589D" w14:textId="77777777" w:rsidR="00CB22B5" w:rsidRPr="00E56E46" w:rsidRDefault="00CB22B5" w:rsidP="009054AA">
      <w:pPr>
        <w:pStyle w:val="ListParagraph"/>
        <w:numPr>
          <w:ilvl w:val="2"/>
          <w:numId w:val="60"/>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21 regional jails are providing SOR-funded MAT and/or recovery services.</w:t>
      </w:r>
    </w:p>
    <w:p w14:paraId="6D182F5D" w14:textId="6BDEA3D2" w:rsidR="00CB22B5" w:rsidRPr="00E56E46" w:rsidRDefault="00CB22B5" w:rsidP="009054AA">
      <w:pPr>
        <w:pStyle w:val="ListParagraph"/>
        <w:numPr>
          <w:ilvl w:val="2"/>
          <w:numId w:val="60"/>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 xml:space="preserve">Hosted quarterly recovery roundtable discussions and peer support webinars with evaluation partner OMNI Institute to </w:t>
      </w:r>
      <w:r w:rsidR="00F4298E">
        <w:rPr>
          <w:rFonts w:ascii="Times New Roman" w:eastAsia="Times New Roman" w:hAnsi="Times New Roman"/>
          <w:color w:val="000000" w:themeColor="text1"/>
          <w:sz w:val="24"/>
          <w:szCs w:val="24"/>
        </w:rPr>
        <w:t>collaborate</w:t>
      </w:r>
      <w:r w:rsidRPr="00E56E46">
        <w:rPr>
          <w:rFonts w:ascii="Times New Roman" w:eastAsia="Times New Roman" w:hAnsi="Times New Roman"/>
          <w:color w:val="000000" w:themeColor="text1"/>
          <w:sz w:val="24"/>
          <w:szCs w:val="24"/>
        </w:rPr>
        <w:t xml:space="preserve"> in the recovery field across states. </w:t>
      </w:r>
    </w:p>
    <w:p w14:paraId="53DDF111" w14:textId="77777777" w:rsidR="00CB22B5" w:rsidRPr="00E56E46" w:rsidRDefault="00CB22B5" w:rsidP="009054AA">
      <w:pPr>
        <w:pStyle w:val="ListParagraph"/>
        <w:numPr>
          <w:ilvl w:val="2"/>
          <w:numId w:val="60"/>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Piloted use of a standard outcome measure (the Brief Assessment of Recovery Capital or BARC-10) to measure changes in recovery capital over time for individuals receiving a variety of recovery services in different settings. Presented BARC-10 pilot findings at three national level conferences.</w:t>
      </w:r>
    </w:p>
    <w:p w14:paraId="0475EAA0" w14:textId="38EE1B5F" w:rsidR="00CB22B5" w:rsidRPr="00E56E46" w:rsidRDefault="00CB22B5" w:rsidP="009054AA">
      <w:pPr>
        <w:pStyle w:val="ListParagraph"/>
        <w:numPr>
          <w:ilvl w:val="2"/>
          <w:numId w:val="60"/>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Assessed changes in recovery outcomes, including substance use, housing, education, employment, health, and social connectedness. Most (98</w:t>
      </w:r>
      <w:r w:rsidR="007313D0" w:rsidRPr="00E56E46">
        <w:rPr>
          <w:rFonts w:ascii="Times New Roman" w:eastAsia="Times New Roman" w:hAnsi="Times New Roman"/>
          <w:color w:val="000000" w:themeColor="text1"/>
          <w:sz w:val="24"/>
          <w:szCs w:val="24"/>
        </w:rPr>
        <w:t xml:space="preserve"> percent</w:t>
      </w:r>
      <w:r w:rsidRPr="00E56E46">
        <w:rPr>
          <w:rFonts w:ascii="Times New Roman" w:eastAsia="Times New Roman" w:hAnsi="Times New Roman"/>
          <w:color w:val="000000" w:themeColor="text1"/>
          <w:sz w:val="24"/>
          <w:szCs w:val="24"/>
        </w:rPr>
        <w:t>) individuals assessed stated that working with a peer is moderately, considerably, or extremely helpful with recovery and maintaining sobriety.</w:t>
      </w:r>
    </w:p>
    <w:p w14:paraId="3AB6C09C" w14:textId="192ED55B" w:rsidR="00CB22B5" w:rsidRPr="00E56E46" w:rsidRDefault="00CB22B5" w:rsidP="009054AA">
      <w:pPr>
        <w:pStyle w:val="ListParagraph"/>
        <w:numPr>
          <w:ilvl w:val="0"/>
          <w:numId w:val="20"/>
        </w:numPr>
        <w:tabs>
          <w:tab w:val="left" w:pos="540"/>
        </w:tabs>
        <w:spacing w:line="240" w:lineRule="auto"/>
        <w:ind w:left="54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The REVIVE! program accomplishments during FY 202</w:t>
      </w:r>
      <w:r w:rsidR="007313D0" w:rsidRPr="00E56E46">
        <w:rPr>
          <w:rFonts w:ascii="Times New Roman" w:eastAsia="Times New Roman" w:hAnsi="Times New Roman"/>
          <w:color w:val="000000" w:themeColor="text1"/>
          <w:sz w:val="24"/>
          <w:szCs w:val="24"/>
        </w:rPr>
        <w:t>2</w:t>
      </w:r>
      <w:r w:rsidRPr="00E56E46">
        <w:rPr>
          <w:rFonts w:ascii="Times New Roman" w:eastAsia="Times New Roman" w:hAnsi="Times New Roman"/>
          <w:color w:val="000000" w:themeColor="text1"/>
          <w:sz w:val="24"/>
          <w:szCs w:val="24"/>
        </w:rPr>
        <w:t xml:space="preserve"> included:</w:t>
      </w:r>
    </w:p>
    <w:p w14:paraId="1007FB43" w14:textId="21ECC3E4" w:rsidR="00CB22B5" w:rsidRPr="00E56E46" w:rsidRDefault="00C15AD9" w:rsidP="009054AA">
      <w:pPr>
        <w:pStyle w:val="ListParagraph"/>
        <w:numPr>
          <w:ilvl w:val="1"/>
          <w:numId w:val="61"/>
        </w:numPr>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Eliminated</w:t>
      </w:r>
      <w:r w:rsidR="00CB22B5" w:rsidRPr="00E56E46">
        <w:rPr>
          <w:rFonts w:ascii="Times New Roman" w:eastAsia="Times New Roman" w:hAnsi="Times New Roman"/>
          <w:color w:val="000000" w:themeColor="text1"/>
          <w:sz w:val="24"/>
          <w:szCs w:val="24"/>
        </w:rPr>
        <w:t xml:space="preserve"> the issue of REVIVE! kits awaiting replenishment by developing an inventory system. The system afforded CSB and all other REVIVE! trainers the security of having REVIVE! kits available and on demand for all trainings to distribute to participants. </w:t>
      </w:r>
    </w:p>
    <w:p w14:paraId="1D3F03F9" w14:textId="45B1DE66" w:rsidR="00CB22B5" w:rsidRPr="00D15731" w:rsidRDefault="00C15AD9" w:rsidP="009054AA">
      <w:pPr>
        <w:pStyle w:val="ListParagraph"/>
        <w:numPr>
          <w:ilvl w:val="1"/>
          <w:numId w:val="61"/>
        </w:numPr>
        <w:tabs>
          <w:tab w:val="left" w:pos="1080"/>
        </w:tabs>
        <w:spacing w:line="240" w:lineRule="auto"/>
        <w:ind w:left="1080"/>
        <w:rPr>
          <w:rFonts w:ascii="Times New Roman" w:eastAsia="Times New Roman" w:hAnsi="Times New Roman"/>
          <w:color w:val="000000" w:themeColor="text1"/>
          <w:sz w:val="24"/>
          <w:szCs w:val="24"/>
        </w:rPr>
      </w:pPr>
      <w:r w:rsidRPr="00E56E46">
        <w:rPr>
          <w:rFonts w:ascii="Times New Roman" w:eastAsia="Times New Roman" w:hAnsi="Times New Roman"/>
          <w:color w:val="000000" w:themeColor="text1"/>
          <w:sz w:val="24"/>
          <w:szCs w:val="24"/>
        </w:rPr>
        <w:t>Continued</w:t>
      </w:r>
      <w:r w:rsidR="00CB22B5" w:rsidRPr="00E56E46">
        <w:rPr>
          <w:rFonts w:ascii="Times New Roman" w:eastAsia="Times New Roman" w:hAnsi="Times New Roman"/>
          <w:color w:val="000000" w:themeColor="text1"/>
          <w:sz w:val="24"/>
          <w:szCs w:val="24"/>
        </w:rPr>
        <w:t xml:space="preserve"> training</w:t>
      </w:r>
      <w:r w:rsidR="00CB22B5" w:rsidRPr="00D15731">
        <w:rPr>
          <w:rFonts w:ascii="Times New Roman" w:eastAsia="Times New Roman" w:hAnsi="Times New Roman"/>
          <w:color w:val="000000" w:themeColor="text1"/>
          <w:sz w:val="24"/>
          <w:szCs w:val="24"/>
        </w:rPr>
        <w:t xml:space="preserve"> and related services during the pandemic by implementing virtual “Rapid REVIVE!” for individuals at the highest risk of experiencing or encountering opioid overdoses. </w:t>
      </w:r>
    </w:p>
    <w:p w14:paraId="158817A4" w14:textId="77777777" w:rsidR="00CB22B5" w:rsidRPr="00D15731" w:rsidRDefault="00CB22B5" w:rsidP="009054AA">
      <w:pPr>
        <w:pStyle w:val="ListParagraph"/>
        <w:numPr>
          <w:ilvl w:val="1"/>
          <w:numId w:val="61"/>
        </w:numPr>
        <w:tabs>
          <w:tab w:val="left" w:pos="1080"/>
        </w:tabs>
        <w:spacing w:line="240" w:lineRule="auto"/>
        <w:ind w:left="1080"/>
        <w:rPr>
          <w:rFonts w:ascii="Times New Roman" w:eastAsia="Times New Roman" w:hAnsi="Times New Roman"/>
          <w:color w:val="000000" w:themeColor="text1"/>
          <w:sz w:val="24"/>
          <w:szCs w:val="24"/>
        </w:rPr>
      </w:pPr>
      <w:r w:rsidRPr="00D15731">
        <w:rPr>
          <w:rFonts w:ascii="Times New Roman" w:eastAsia="Times New Roman" w:hAnsi="Times New Roman"/>
          <w:color w:val="000000" w:themeColor="text1"/>
          <w:sz w:val="24"/>
          <w:szCs w:val="24"/>
        </w:rPr>
        <w:t>REVIVE! Training of Trainers (TOT) training sessions were also offered on a biweekly basis, to begin the development of more Master Trainers.</w:t>
      </w:r>
    </w:p>
    <w:p w14:paraId="20FF9A30" w14:textId="77777777" w:rsidR="00CB22B5" w:rsidRPr="00D15731" w:rsidRDefault="00CB22B5" w:rsidP="009054AA">
      <w:pPr>
        <w:pStyle w:val="ListParagraph"/>
        <w:numPr>
          <w:ilvl w:val="1"/>
          <w:numId w:val="61"/>
        </w:numPr>
        <w:tabs>
          <w:tab w:val="left" w:pos="1080"/>
        </w:tabs>
        <w:spacing w:line="240" w:lineRule="auto"/>
        <w:ind w:left="1080"/>
        <w:rPr>
          <w:rFonts w:ascii="Times New Roman" w:eastAsia="Times New Roman" w:hAnsi="Times New Roman"/>
          <w:color w:val="000000" w:themeColor="text1"/>
          <w:sz w:val="24"/>
          <w:szCs w:val="24"/>
        </w:rPr>
      </w:pPr>
      <w:r w:rsidRPr="00D15731">
        <w:rPr>
          <w:rFonts w:ascii="Times New Roman" w:eastAsia="Times New Roman" w:hAnsi="Times New Roman"/>
          <w:color w:val="000000" w:themeColor="text1"/>
          <w:sz w:val="24"/>
          <w:szCs w:val="24"/>
        </w:rPr>
        <w:t>Due to the decrease in COVID-19 restrictions, the demand for in-person trainings increased significantly. In-person training requisitions, across the Commonwealth, were accommodated by the DBHDS REVIVE! team, when requested.</w:t>
      </w:r>
    </w:p>
    <w:p w14:paraId="08CAF257" w14:textId="1278F3C8" w:rsidR="00CB22B5" w:rsidRPr="00D15731" w:rsidRDefault="00CB22B5" w:rsidP="009054AA">
      <w:pPr>
        <w:pStyle w:val="ListParagraph"/>
        <w:numPr>
          <w:ilvl w:val="1"/>
          <w:numId w:val="61"/>
        </w:numPr>
        <w:tabs>
          <w:tab w:val="left" w:pos="1080"/>
        </w:tabs>
        <w:spacing w:line="240" w:lineRule="auto"/>
        <w:ind w:left="1080"/>
        <w:rPr>
          <w:rFonts w:ascii="Times New Roman" w:eastAsia="Times New Roman" w:hAnsi="Times New Roman"/>
          <w:color w:val="000000" w:themeColor="text1"/>
          <w:sz w:val="24"/>
          <w:szCs w:val="24"/>
        </w:rPr>
      </w:pPr>
      <w:r w:rsidRPr="00D15731">
        <w:rPr>
          <w:rFonts w:ascii="Times New Roman" w:eastAsia="Times New Roman" w:hAnsi="Times New Roman"/>
          <w:color w:val="000000" w:themeColor="text1"/>
          <w:sz w:val="24"/>
          <w:szCs w:val="24"/>
        </w:rPr>
        <w:t xml:space="preserve">During the 1st quarter of 2021 there were 31 individuals trained as Non-First Responder Master Trainers. During the same </w:t>
      </w:r>
      <w:r w:rsidR="007313D0" w:rsidRPr="00D15731">
        <w:rPr>
          <w:rFonts w:ascii="Times New Roman" w:eastAsia="Times New Roman" w:hAnsi="Times New Roman"/>
          <w:color w:val="000000" w:themeColor="text1"/>
          <w:sz w:val="24"/>
          <w:szCs w:val="24"/>
        </w:rPr>
        <w:t>time</w:t>
      </w:r>
      <w:r w:rsidR="007313D0">
        <w:rPr>
          <w:rFonts w:ascii="Times New Roman" w:eastAsia="Times New Roman" w:hAnsi="Times New Roman"/>
          <w:color w:val="000000" w:themeColor="text1"/>
          <w:sz w:val="24"/>
          <w:szCs w:val="24"/>
        </w:rPr>
        <w:t>,</w:t>
      </w:r>
      <w:r w:rsidRPr="00D15731">
        <w:rPr>
          <w:rFonts w:ascii="Times New Roman" w:eastAsia="Times New Roman" w:hAnsi="Times New Roman"/>
          <w:color w:val="000000" w:themeColor="text1"/>
          <w:sz w:val="24"/>
          <w:szCs w:val="24"/>
        </w:rPr>
        <w:t xml:space="preserve"> approximately 1,500 individuals were trained via Lay Rescuer and Training of Trainers (TOT).</w:t>
      </w:r>
    </w:p>
    <w:p w14:paraId="6CBFB158" w14:textId="44E3E253" w:rsidR="00CB22B5" w:rsidRPr="00D15731" w:rsidRDefault="00CB22B5" w:rsidP="009054AA">
      <w:pPr>
        <w:pStyle w:val="ListParagraph"/>
        <w:numPr>
          <w:ilvl w:val="1"/>
          <w:numId w:val="61"/>
        </w:numPr>
        <w:tabs>
          <w:tab w:val="left" w:pos="1080"/>
        </w:tabs>
        <w:spacing w:line="240" w:lineRule="auto"/>
        <w:ind w:left="1080"/>
        <w:rPr>
          <w:rFonts w:ascii="Times New Roman" w:eastAsia="Times New Roman" w:hAnsi="Times New Roman"/>
          <w:color w:val="000000" w:themeColor="text1"/>
          <w:sz w:val="24"/>
          <w:szCs w:val="24"/>
        </w:rPr>
      </w:pPr>
      <w:r w:rsidRPr="00D15731">
        <w:rPr>
          <w:rFonts w:ascii="Times New Roman" w:eastAsia="Times New Roman" w:hAnsi="Times New Roman"/>
          <w:color w:val="000000" w:themeColor="text1"/>
          <w:sz w:val="24"/>
          <w:szCs w:val="24"/>
        </w:rPr>
        <w:t>DBHDS partners with VDH to coordinate the distribution of Naloxone. Comprehensive Harm Reduction (CHR) sites as well as REVIVE! trainers can register to receive Naloxone from VDH. CHR sites have distributed 11,332 doses of Naloxone. Pharmacy Naloxone distribution is about 6</w:t>
      </w:r>
      <w:r w:rsidR="007313D0">
        <w:rPr>
          <w:rFonts w:ascii="Times New Roman" w:eastAsia="Times New Roman" w:hAnsi="Times New Roman"/>
          <w:color w:val="000000" w:themeColor="text1"/>
          <w:sz w:val="24"/>
          <w:szCs w:val="24"/>
        </w:rPr>
        <w:t xml:space="preserve"> percent</w:t>
      </w:r>
      <w:r>
        <w:rPr>
          <w:rFonts w:ascii="Times New Roman" w:eastAsia="Times New Roman" w:hAnsi="Times New Roman"/>
          <w:color w:val="000000" w:themeColor="text1"/>
          <w:sz w:val="24"/>
          <w:szCs w:val="24"/>
        </w:rPr>
        <w:t xml:space="preserve"> of overall distribution</w:t>
      </w:r>
      <w:r w:rsidRPr="00D15731">
        <w:rPr>
          <w:rFonts w:ascii="Times New Roman" w:eastAsia="Times New Roman" w:hAnsi="Times New Roman"/>
          <w:color w:val="000000" w:themeColor="text1"/>
          <w:sz w:val="24"/>
          <w:szCs w:val="24"/>
        </w:rPr>
        <w:t>.</w:t>
      </w:r>
    </w:p>
    <w:p w14:paraId="187812BD" w14:textId="77777777" w:rsidR="00C15AD9" w:rsidRDefault="00CB22B5" w:rsidP="009054AA">
      <w:pPr>
        <w:pStyle w:val="ListParagraph"/>
        <w:numPr>
          <w:ilvl w:val="1"/>
          <w:numId w:val="61"/>
        </w:numPr>
        <w:tabs>
          <w:tab w:val="left" w:pos="1080"/>
        </w:tabs>
        <w:spacing w:line="240" w:lineRule="auto"/>
        <w:ind w:left="1080"/>
        <w:rPr>
          <w:rFonts w:ascii="Times New Roman" w:eastAsia="Times New Roman" w:hAnsi="Times New Roman"/>
          <w:color w:val="000000" w:themeColor="text1"/>
          <w:sz w:val="24"/>
          <w:szCs w:val="24"/>
        </w:rPr>
      </w:pPr>
      <w:r w:rsidRPr="00D15731">
        <w:rPr>
          <w:rFonts w:ascii="Times New Roman" w:eastAsia="Times New Roman" w:hAnsi="Times New Roman"/>
          <w:color w:val="000000" w:themeColor="text1"/>
          <w:sz w:val="24"/>
          <w:szCs w:val="24"/>
        </w:rPr>
        <w:t xml:space="preserve">DBHDS received funds from the First Responders Grant. This funding opportunity has allowed DBHDS to partner with Virginia Association of Chiefs of Police (VACP) to provide REVIVE! For First Responders training. The cohort of First Responders include: Law Enforcement agencies, non-EMS fire service agencies, and corrections/jails located in Virginia.  During the time frame January 1-June 30, 2021, eight REVIVE! for First Responders Train the Trainers were conducted, 126 new trainers were certified as REVIVE! First Responders Trainers, and no Master Trainer certifications were completed.  </w:t>
      </w:r>
    </w:p>
    <w:p w14:paraId="74B1F2D5" w14:textId="77777777" w:rsidR="007313D0" w:rsidRPr="007313D0" w:rsidRDefault="00CB22B5" w:rsidP="009054AA">
      <w:pPr>
        <w:pStyle w:val="ListParagraph"/>
        <w:numPr>
          <w:ilvl w:val="0"/>
          <w:numId w:val="61"/>
        </w:numPr>
        <w:tabs>
          <w:tab w:val="left" w:pos="1080"/>
        </w:tabs>
        <w:spacing w:line="240" w:lineRule="auto"/>
        <w:ind w:left="540"/>
        <w:rPr>
          <w:rFonts w:ascii="Times New Roman" w:eastAsia="Times New Roman" w:hAnsi="Times New Roman"/>
          <w:color w:val="000000" w:themeColor="text1"/>
          <w:sz w:val="24"/>
          <w:szCs w:val="24"/>
        </w:rPr>
      </w:pPr>
      <w:r w:rsidRPr="007313D0">
        <w:rPr>
          <w:rFonts w:ascii="Times New Roman" w:hAnsi="Times New Roman"/>
          <w:sz w:val="24"/>
          <w:szCs w:val="24"/>
        </w:rPr>
        <w:t xml:space="preserve">The State Opioid Treatment Authority (SOTA) requested and received approval from SAMHSA to allow for liberal take-homes. SOTA held daily and then weekly calls. DBHDS, DMAS, and others were able to assist the opioid treatment programs (OTPs) with reimbursement for take-homes, </w:t>
      </w:r>
      <w:proofErr w:type="gramStart"/>
      <w:r w:rsidRPr="007313D0">
        <w:rPr>
          <w:rFonts w:ascii="Times New Roman" w:hAnsi="Times New Roman"/>
          <w:sz w:val="24"/>
          <w:szCs w:val="24"/>
        </w:rPr>
        <w:t>transportation</w:t>
      </w:r>
      <w:proofErr w:type="gramEnd"/>
      <w:r w:rsidRPr="007313D0">
        <w:rPr>
          <w:rFonts w:ascii="Times New Roman" w:hAnsi="Times New Roman"/>
          <w:sz w:val="24"/>
          <w:szCs w:val="24"/>
        </w:rPr>
        <w:t xml:space="preserve"> and PPE. Virginia expanded from 38 to 46 </w:t>
      </w:r>
      <w:r w:rsidRPr="007313D0">
        <w:rPr>
          <w:rFonts w:ascii="Times New Roman" w:hAnsi="Times New Roman"/>
          <w:sz w:val="24"/>
          <w:szCs w:val="24"/>
        </w:rPr>
        <w:lastRenderedPageBreak/>
        <w:t>OTPs during the pandemic.</w:t>
      </w:r>
      <w:r w:rsidR="00C15AD9" w:rsidRPr="007313D0">
        <w:rPr>
          <w:rFonts w:ascii="Times New Roman" w:hAnsi="Times New Roman"/>
          <w:sz w:val="24"/>
          <w:szCs w:val="24"/>
        </w:rPr>
        <w:t xml:space="preserve"> </w:t>
      </w:r>
      <w:r w:rsidRPr="007313D0">
        <w:rPr>
          <w:rFonts w:ascii="Times New Roman" w:hAnsi="Times New Roman"/>
          <w:sz w:val="24"/>
          <w:szCs w:val="24"/>
        </w:rPr>
        <w:t xml:space="preserve">All 46 OTPs </w:t>
      </w:r>
      <w:proofErr w:type="gramStart"/>
      <w:r w:rsidRPr="007313D0">
        <w:rPr>
          <w:rFonts w:ascii="Times New Roman" w:hAnsi="Times New Roman"/>
          <w:sz w:val="24"/>
          <w:szCs w:val="24"/>
        </w:rPr>
        <w:t>have the ability to</w:t>
      </w:r>
      <w:proofErr w:type="gramEnd"/>
      <w:r w:rsidRPr="007313D0">
        <w:rPr>
          <w:rFonts w:ascii="Times New Roman" w:hAnsi="Times New Roman"/>
          <w:sz w:val="24"/>
          <w:szCs w:val="24"/>
        </w:rPr>
        <w:t xml:space="preserve"> become naloxone only distribution sites. This allows them the capability to give each client a naloxone kit</w:t>
      </w:r>
      <w:r w:rsidR="00C15AD9" w:rsidRPr="007313D0">
        <w:rPr>
          <w:rFonts w:ascii="Times New Roman" w:hAnsi="Times New Roman"/>
          <w:sz w:val="24"/>
          <w:szCs w:val="24"/>
        </w:rPr>
        <w:t>.</w:t>
      </w:r>
    </w:p>
    <w:p w14:paraId="33B453AA" w14:textId="1A830EE6" w:rsidR="007313D0" w:rsidRPr="007313D0" w:rsidRDefault="00CB22B5" w:rsidP="009054AA">
      <w:pPr>
        <w:pStyle w:val="ListParagraph"/>
        <w:numPr>
          <w:ilvl w:val="0"/>
          <w:numId w:val="61"/>
        </w:numPr>
        <w:tabs>
          <w:tab w:val="left" w:pos="1080"/>
        </w:tabs>
        <w:spacing w:line="240" w:lineRule="auto"/>
        <w:ind w:left="540"/>
        <w:rPr>
          <w:rFonts w:ascii="Times New Roman" w:eastAsia="Times New Roman" w:hAnsi="Times New Roman"/>
          <w:color w:val="000000" w:themeColor="text1"/>
          <w:sz w:val="24"/>
          <w:szCs w:val="24"/>
        </w:rPr>
      </w:pPr>
      <w:r w:rsidRPr="007313D0">
        <w:rPr>
          <w:rFonts w:ascii="Times New Roman" w:hAnsi="Times New Roman"/>
          <w:sz w:val="24"/>
          <w:szCs w:val="24"/>
        </w:rPr>
        <w:t>Substance-Use Disorder Prevention</w:t>
      </w:r>
      <w:r w:rsidR="00F4298E">
        <w:rPr>
          <w:rFonts w:ascii="Times New Roman" w:hAnsi="Times New Roman"/>
          <w:sz w:val="24"/>
          <w:szCs w:val="24"/>
        </w:rPr>
        <w:t xml:space="preserve"> – </w:t>
      </w:r>
      <w:r w:rsidRPr="007313D0">
        <w:rPr>
          <w:rFonts w:ascii="Times New Roman" w:hAnsi="Times New Roman"/>
          <w:sz w:val="24"/>
          <w:szCs w:val="24"/>
        </w:rPr>
        <w:t>The Substance Abuse Block Grant Prevention Set-Aside has transformed the CSB</w:t>
      </w:r>
      <w:r w:rsidR="007313D0" w:rsidRPr="007313D0">
        <w:rPr>
          <w:rFonts w:ascii="Times New Roman" w:hAnsi="Times New Roman"/>
          <w:sz w:val="24"/>
          <w:szCs w:val="24"/>
        </w:rPr>
        <w:t xml:space="preserve"> </w:t>
      </w:r>
      <w:r w:rsidRPr="007313D0">
        <w:rPr>
          <w:rFonts w:ascii="Times New Roman" w:hAnsi="Times New Roman"/>
          <w:sz w:val="24"/>
          <w:szCs w:val="24"/>
        </w:rPr>
        <w:t>prevention system into a performance-based system by utilizing the federal Strategic</w:t>
      </w:r>
      <w:r w:rsidR="007313D0" w:rsidRPr="007313D0">
        <w:rPr>
          <w:rFonts w:ascii="Times New Roman" w:hAnsi="Times New Roman"/>
          <w:sz w:val="24"/>
          <w:szCs w:val="24"/>
        </w:rPr>
        <w:t xml:space="preserve"> </w:t>
      </w:r>
      <w:r w:rsidRPr="007313D0">
        <w:rPr>
          <w:rFonts w:ascii="Times New Roman" w:hAnsi="Times New Roman"/>
          <w:sz w:val="24"/>
          <w:szCs w:val="24"/>
        </w:rPr>
        <w:t>Prevention Framework (SPF). This year, all 40 CSBs, in partnership with their local</w:t>
      </w:r>
      <w:r w:rsidR="007313D0" w:rsidRPr="007313D0">
        <w:rPr>
          <w:rFonts w:ascii="Times New Roman" w:hAnsi="Times New Roman"/>
          <w:sz w:val="24"/>
          <w:szCs w:val="24"/>
        </w:rPr>
        <w:t xml:space="preserve"> </w:t>
      </w:r>
      <w:r w:rsidRPr="007313D0">
        <w:rPr>
          <w:rFonts w:ascii="Times New Roman" w:hAnsi="Times New Roman"/>
          <w:sz w:val="24"/>
          <w:szCs w:val="24"/>
        </w:rPr>
        <w:t xml:space="preserve">community coalitions, implemented individually based prevention programs that served 51,061 individuals. </w:t>
      </w:r>
    </w:p>
    <w:p w14:paraId="004EA936" w14:textId="7CC2120A" w:rsidR="007313D0" w:rsidRPr="007313D0" w:rsidRDefault="007313D0" w:rsidP="009054AA">
      <w:pPr>
        <w:pStyle w:val="ListParagraph"/>
        <w:numPr>
          <w:ilvl w:val="0"/>
          <w:numId w:val="62"/>
        </w:numPr>
        <w:tabs>
          <w:tab w:val="left" w:pos="1080"/>
        </w:tabs>
        <w:spacing w:line="240" w:lineRule="auto"/>
        <w:rPr>
          <w:rFonts w:ascii="Times New Roman" w:eastAsia="Arial" w:hAnsi="Times New Roman"/>
          <w:sz w:val="24"/>
          <w:szCs w:val="24"/>
        </w:rPr>
      </w:pPr>
      <w:r w:rsidRPr="007313D0">
        <w:rPr>
          <w:rFonts w:ascii="Times New Roman" w:hAnsi="Times New Roman"/>
          <w:sz w:val="24"/>
          <w:szCs w:val="24"/>
        </w:rPr>
        <w:t xml:space="preserve">Adverse Childhood Experiences (ACEs) </w:t>
      </w:r>
      <w:r>
        <w:rPr>
          <w:rFonts w:ascii="Times New Roman" w:hAnsi="Times New Roman"/>
          <w:sz w:val="24"/>
          <w:szCs w:val="24"/>
        </w:rPr>
        <w:t xml:space="preserve">– </w:t>
      </w:r>
      <w:r w:rsidR="00CB22B5" w:rsidRPr="007313D0">
        <w:rPr>
          <w:rFonts w:ascii="Times New Roman" w:hAnsi="Times New Roman"/>
          <w:sz w:val="24"/>
          <w:szCs w:val="24"/>
        </w:rPr>
        <w:t>All 40 CSBs have been trained to bring awareness to their communities around the</w:t>
      </w:r>
      <w:r w:rsidRPr="007313D0">
        <w:rPr>
          <w:rFonts w:ascii="Times New Roman" w:hAnsi="Times New Roman"/>
          <w:sz w:val="24"/>
          <w:szCs w:val="24"/>
        </w:rPr>
        <w:t xml:space="preserve"> </w:t>
      </w:r>
      <w:r w:rsidR="00CB22B5" w:rsidRPr="007313D0">
        <w:rPr>
          <w:rFonts w:ascii="Times New Roman" w:hAnsi="Times New Roman"/>
          <w:sz w:val="24"/>
          <w:szCs w:val="24"/>
        </w:rPr>
        <w:t>connection between ACEs and future adverse mental,</w:t>
      </w:r>
      <w:r w:rsidRPr="007313D0">
        <w:rPr>
          <w:rFonts w:ascii="Times New Roman" w:hAnsi="Times New Roman"/>
          <w:sz w:val="24"/>
          <w:szCs w:val="24"/>
        </w:rPr>
        <w:t xml:space="preserve"> </w:t>
      </w:r>
      <w:r w:rsidR="00CB22B5" w:rsidRPr="007313D0">
        <w:rPr>
          <w:rFonts w:ascii="Times New Roman" w:hAnsi="Times New Roman"/>
          <w:sz w:val="24"/>
          <w:szCs w:val="24"/>
        </w:rPr>
        <w:t>emotional, and physical health outcomes. ACE Interface trainings are the foundation for</w:t>
      </w:r>
      <w:r w:rsidRPr="007313D0">
        <w:rPr>
          <w:rFonts w:ascii="Times New Roman" w:hAnsi="Times New Roman"/>
          <w:sz w:val="24"/>
          <w:szCs w:val="24"/>
        </w:rPr>
        <w:t xml:space="preserve"> </w:t>
      </w:r>
      <w:r w:rsidR="00CB22B5" w:rsidRPr="007313D0">
        <w:rPr>
          <w:rFonts w:ascii="Times New Roman" w:hAnsi="Times New Roman"/>
          <w:sz w:val="24"/>
          <w:szCs w:val="24"/>
        </w:rPr>
        <w:t xml:space="preserve">growing ACE Prepared Self-Healing Communities. To date, DBHDS has trained 340 trainers who have delivered over 500 trainings to over 15,500 participants. </w:t>
      </w:r>
    </w:p>
    <w:p w14:paraId="51A08C88" w14:textId="6DA1B902" w:rsidR="007313D0" w:rsidRPr="007313D0" w:rsidRDefault="007313D0" w:rsidP="009054AA">
      <w:pPr>
        <w:pStyle w:val="ListParagraph"/>
        <w:numPr>
          <w:ilvl w:val="0"/>
          <w:numId w:val="62"/>
        </w:numPr>
        <w:tabs>
          <w:tab w:val="left" w:pos="1080"/>
        </w:tabs>
        <w:spacing w:line="240" w:lineRule="auto"/>
        <w:rPr>
          <w:rFonts w:ascii="Times New Roman" w:eastAsia="Arial" w:hAnsi="Times New Roman"/>
          <w:sz w:val="24"/>
          <w:szCs w:val="24"/>
        </w:rPr>
      </w:pPr>
      <w:proofErr w:type="spellStart"/>
      <w:r>
        <w:rPr>
          <w:rFonts w:ascii="Times New Roman" w:hAnsi="Times New Roman"/>
          <w:sz w:val="24"/>
          <w:szCs w:val="24"/>
        </w:rPr>
        <w:t>Synar</w:t>
      </w:r>
      <w:proofErr w:type="spellEnd"/>
      <w:r>
        <w:rPr>
          <w:rFonts w:ascii="Times New Roman" w:hAnsi="Times New Roman"/>
          <w:sz w:val="24"/>
          <w:szCs w:val="24"/>
        </w:rPr>
        <w:t xml:space="preserve"> – </w:t>
      </w:r>
      <w:r w:rsidRPr="007313D0">
        <w:rPr>
          <w:rFonts w:ascii="Times New Roman" w:hAnsi="Times New Roman"/>
          <w:sz w:val="24"/>
          <w:szCs w:val="24"/>
        </w:rPr>
        <w:t>The federal</w:t>
      </w:r>
      <w:r>
        <w:rPr>
          <w:rFonts w:ascii="Times New Roman" w:hAnsi="Times New Roman"/>
          <w:sz w:val="24"/>
          <w:szCs w:val="24"/>
        </w:rPr>
        <w:t xml:space="preserve"> </w:t>
      </w:r>
      <w:proofErr w:type="spellStart"/>
      <w:r w:rsidRPr="007313D0">
        <w:rPr>
          <w:rFonts w:ascii="Times New Roman" w:hAnsi="Times New Roman"/>
          <w:sz w:val="24"/>
          <w:szCs w:val="24"/>
        </w:rPr>
        <w:t>Synar</w:t>
      </w:r>
      <w:proofErr w:type="spellEnd"/>
      <w:r w:rsidRPr="007313D0">
        <w:rPr>
          <w:rFonts w:ascii="Times New Roman" w:hAnsi="Times New Roman"/>
          <w:sz w:val="24"/>
          <w:szCs w:val="24"/>
        </w:rPr>
        <w:t xml:space="preserve"> Amendment requires states to have laws prohibiting the sale and distribution of tobacco products to minors. </w:t>
      </w:r>
      <w:r w:rsidR="00CB22B5" w:rsidRPr="007313D0">
        <w:rPr>
          <w:rFonts w:ascii="Times New Roman" w:hAnsi="Times New Roman"/>
          <w:sz w:val="24"/>
          <w:szCs w:val="24"/>
        </w:rPr>
        <w:t xml:space="preserve">Virginia’s </w:t>
      </w:r>
      <w:proofErr w:type="spellStart"/>
      <w:r w:rsidR="00CB22B5" w:rsidRPr="007313D0">
        <w:rPr>
          <w:rFonts w:ascii="Times New Roman" w:hAnsi="Times New Roman"/>
          <w:sz w:val="24"/>
          <w:szCs w:val="24"/>
        </w:rPr>
        <w:t>Synar</w:t>
      </w:r>
      <w:proofErr w:type="spellEnd"/>
      <w:r w:rsidR="00CB22B5" w:rsidRPr="007313D0">
        <w:rPr>
          <w:rFonts w:ascii="Times New Roman" w:hAnsi="Times New Roman"/>
          <w:sz w:val="24"/>
          <w:szCs w:val="24"/>
        </w:rPr>
        <w:t xml:space="preserve"> rate remained at 16.8</w:t>
      </w:r>
      <w:r>
        <w:rPr>
          <w:rFonts w:ascii="Times New Roman" w:hAnsi="Times New Roman"/>
          <w:sz w:val="24"/>
          <w:szCs w:val="24"/>
        </w:rPr>
        <w:t xml:space="preserve"> percent</w:t>
      </w:r>
      <w:r w:rsidR="00CB22B5" w:rsidRPr="007313D0">
        <w:rPr>
          <w:rFonts w:ascii="Times New Roman" w:hAnsi="Times New Roman"/>
          <w:sz w:val="24"/>
          <w:szCs w:val="24"/>
        </w:rPr>
        <w:t xml:space="preserve"> for FY 2022 as retailer compliance checks were suspended due to COVID-19. This rate continues to reiterate the need for sustained, ongoing retail violation enforcement checks. </w:t>
      </w:r>
    </w:p>
    <w:p w14:paraId="23F6FF2E" w14:textId="04C1FB97" w:rsidR="007313D0" w:rsidRPr="00F4298E" w:rsidRDefault="007313D0" w:rsidP="009054AA">
      <w:pPr>
        <w:pStyle w:val="ListParagraph"/>
        <w:numPr>
          <w:ilvl w:val="0"/>
          <w:numId w:val="62"/>
        </w:numPr>
        <w:tabs>
          <w:tab w:val="left" w:pos="1080"/>
        </w:tabs>
        <w:spacing w:line="240" w:lineRule="auto"/>
        <w:rPr>
          <w:rFonts w:ascii="Times New Roman" w:eastAsia="Arial" w:hAnsi="Times New Roman"/>
          <w:sz w:val="24"/>
          <w:szCs w:val="24"/>
        </w:rPr>
      </w:pPr>
      <w:r w:rsidRPr="00F4298E">
        <w:rPr>
          <w:rFonts w:ascii="Times New Roman" w:hAnsi="Times New Roman"/>
          <w:sz w:val="24"/>
          <w:szCs w:val="24"/>
        </w:rPr>
        <w:t xml:space="preserve">Disposal and Storage – </w:t>
      </w:r>
      <w:r w:rsidR="00CB22B5" w:rsidRPr="00F4298E">
        <w:rPr>
          <w:rFonts w:ascii="Times New Roman" w:hAnsi="Times New Roman"/>
          <w:sz w:val="24"/>
          <w:szCs w:val="24"/>
        </w:rPr>
        <w:t>CSBs implemented strategies to reduce access to opioids through proper disposal and</w:t>
      </w:r>
      <w:r w:rsidRPr="00F4298E">
        <w:rPr>
          <w:rFonts w:ascii="Times New Roman" w:hAnsi="Times New Roman"/>
          <w:sz w:val="24"/>
          <w:szCs w:val="24"/>
        </w:rPr>
        <w:t xml:space="preserve"> </w:t>
      </w:r>
      <w:r w:rsidR="00CB22B5" w:rsidRPr="00F4298E">
        <w:rPr>
          <w:rFonts w:ascii="Times New Roman" w:hAnsi="Times New Roman"/>
          <w:sz w:val="24"/>
          <w:szCs w:val="24"/>
        </w:rPr>
        <w:t xml:space="preserve">storage, including distribution of Over 16,000 drug deactivation packets, lockboxes, and smart pill bottles.  </w:t>
      </w:r>
    </w:p>
    <w:p w14:paraId="5FB876B7" w14:textId="21CF0A4B" w:rsidR="00CB22B5" w:rsidRPr="00F4298E" w:rsidRDefault="007313D0" w:rsidP="009054AA">
      <w:pPr>
        <w:pStyle w:val="ListParagraph"/>
        <w:numPr>
          <w:ilvl w:val="0"/>
          <w:numId w:val="62"/>
        </w:numPr>
        <w:tabs>
          <w:tab w:val="left" w:pos="1080"/>
        </w:tabs>
        <w:spacing w:line="240" w:lineRule="auto"/>
        <w:rPr>
          <w:rFonts w:ascii="Times New Roman" w:hAnsi="Times New Roman"/>
          <w:sz w:val="24"/>
          <w:szCs w:val="24"/>
        </w:rPr>
      </w:pPr>
      <w:r w:rsidRPr="00F4298E">
        <w:rPr>
          <w:rFonts w:ascii="Times New Roman" w:hAnsi="Times New Roman"/>
          <w:sz w:val="24"/>
          <w:szCs w:val="24"/>
        </w:rPr>
        <w:t xml:space="preserve">Drug Take Back Events – </w:t>
      </w:r>
      <w:r w:rsidR="00CB22B5" w:rsidRPr="00F4298E">
        <w:rPr>
          <w:rFonts w:ascii="Times New Roman" w:hAnsi="Times New Roman"/>
          <w:sz w:val="24"/>
          <w:szCs w:val="24"/>
        </w:rPr>
        <w:t>Over 50,000 people engaged in events this year.</w:t>
      </w:r>
    </w:p>
    <w:p w14:paraId="7B94762D" w14:textId="17D484C2" w:rsidR="007313D0" w:rsidRPr="007313D0" w:rsidRDefault="007313D0" w:rsidP="009054AA">
      <w:pPr>
        <w:pStyle w:val="ListParagraph"/>
        <w:numPr>
          <w:ilvl w:val="0"/>
          <w:numId w:val="62"/>
        </w:numPr>
        <w:tabs>
          <w:tab w:val="left" w:pos="1080"/>
        </w:tabs>
        <w:spacing w:line="240" w:lineRule="auto"/>
        <w:rPr>
          <w:rFonts w:ascii="Times New Roman" w:eastAsia="Arial" w:hAnsi="Times New Roman"/>
          <w:sz w:val="24"/>
          <w:szCs w:val="24"/>
        </w:rPr>
      </w:pPr>
      <w:r w:rsidRPr="00F4298E">
        <w:rPr>
          <w:rFonts w:ascii="Times New Roman" w:hAnsi="Times New Roman"/>
          <w:sz w:val="24"/>
          <w:szCs w:val="24"/>
        </w:rPr>
        <w:t>“Activate Your Wellness” – Th</w:t>
      </w:r>
      <w:r w:rsidR="00E26CE7">
        <w:rPr>
          <w:rFonts w:ascii="Times New Roman" w:hAnsi="Times New Roman"/>
          <w:sz w:val="24"/>
          <w:szCs w:val="24"/>
        </w:rPr>
        <w:t>is</w:t>
      </w:r>
      <w:r w:rsidRPr="00F4298E">
        <w:rPr>
          <w:rFonts w:ascii="Times New Roman" w:hAnsi="Times New Roman"/>
          <w:sz w:val="24"/>
          <w:szCs w:val="24"/>
        </w:rPr>
        <w:t xml:space="preserve"> SOR II-funded statewide media campaign invites Virginians to learn, reflect and take steps</w:t>
      </w:r>
      <w:r w:rsidRPr="007313D0">
        <w:rPr>
          <w:rFonts w:ascii="Times New Roman" w:hAnsi="Times New Roman"/>
          <w:sz w:val="24"/>
          <w:szCs w:val="24"/>
        </w:rPr>
        <w:t xml:space="preserve"> to improve individual and community wellness. The project is a collaborative effort including </w:t>
      </w:r>
      <w:r w:rsidR="00E26CE7">
        <w:rPr>
          <w:rFonts w:ascii="Times New Roman" w:hAnsi="Times New Roman"/>
          <w:sz w:val="24"/>
          <w:szCs w:val="24"/>
        </w:rPr>
        <w:t>DBHDS</w:t>
      </w:r>
      <w:r w:rsidRPr="007313D0">
        <w:rPr>
          <w:rFonts w:ascii="Times New Roman" w:hAnsi="Times New Roman"/>
          <w:sz w:val="24"/>
          <w:szCs w:val="24"/>
        </w:rPr>
        <w:t xml:space="preserve">, OMNI Institute, Rigaud Global </w:t>
      </w:r>
      <w:proofErr w:type="gramStart"/>
      <w:r w:rsidRPr="007313D0">
        <w:rPr>
          <w:rFonts w:ascii="Times New Roman" w:hAnsi="Times New Roman"/>
          <w:sz w:val="24"/>
          <w:szCs w:val="24"/>
        </w:rPr>
        <w:t>Company</w:t>
      </w:r>
      <w:proofErr w:type="gramEnd"/>
      <w:r w:rsidRPr="007313D0">
        <w:rPr>
          <w:rFonts w:ascii="Times New Roman" w:hAnsi="Times New Roman"/>
          <w:sz w:val="24"/>
          <w:szCs w:val="24"/>
        </w:rPr>
        <w:t xml:space="preserve"> and 20+ CSBs. The </w:t>
      </w:r>
      <w:r w:rsidR="00E26CE7">
        <w:rPr>
          <w:rFonts w:ascii="Times New Roman" w:hAnsi="Times New Roman"/>
          <w:sz w:val="24"/>
          <w:szCs w:val="24"/>
        </w:rPr>
        <w:t>campaign used</w:t>
      </w:r>
      <w:r w:rsidRPr="007313D0">
        <w:rPr>
          <w:rFonts w:ascii="Times New Roman" w:hAnsi="Times New Roman"/>
          <w:sz w:val="24"/>
          <w:szCs w:val="24"/>
        </w:rPr>
        <w:t xml:space="preserve"> multiple media channels including radio, digital video streaming, Instagram, </w:t>
      </w:r>
      <w:proofErr w:type="gramStart"/>
      <w:r w:rsidRPr="007313D0">
        <w:rPr>
          <w:rFonts w:ascii="Times New Roman" w:hAnsi="Times New Roman"/>
          <w:sz w:val="24"/>
          <w:szCs w:val="24"/>
        </w:rPr>
        <w:t>Facebook</w:t>
      </w:r>
      <w:proofErr w:type="gramEnd"/>
      <w:r w:rsidRPr="007313D0">
        <w:rPr>
          <w:rFonts w:ascii="Times New Roman" w:hAnsi="Times New Roman"/>
          <w:sz w:val="24"/>
          <w:szCs w:val="24"/>
        </w:rPr>
        <w:t xml:space="preserve"> and YouTube--with more than 5 million impressions during July-August 2022. Traffic to the website landing page topped 1,100 views in the first month of the campaign and the average time spent on the page was over four minutes. </w:t>
      </w:r>
    </w:p>
    <w:p w14:paraId="246DC5D7" w14:textId="77777777" w:rsidR="000F280D" w:rsidRPr="000F280D" w:rsidRDefault="007313D0" w:rsidP="009054AA">
      <w:pPr>
        <w:pStyle w:val="ListParagraph"/>
        <w:numPr>
          <w:ilvl w:val="0"/>
          <w:numId w:val="62"/>
        </w:numPr>
        <w:tabs>
          <w:tab w:val="left" w:pos="1080"/>
        </w:tabs>
        <w:spacing w:line="240" w:lineRule="auto"/>
        <w:rPr>
          <w:rFonts w:ascii="Times New Roman" w:eastAsia="Arial" w:hAnsi="Times New Roman"/>
          <w:sz w:val="24"/>
          <w:szCs w:val="24"/>
        </w:rPr>
      </w:pPr>
      <w:r>
        <w:rPr>
          <w:rFonts w:ascii="Times New Roman" w:hAnsi="Times New Roman"/>
          <w:sz w:val="24"/>
          <w:szCs w:val="24"/>
        </w:rPr>
        <w:t xml:space="preserve">Message Reach – </w:t>
      </w:r>
      <w:r w:rsidRPr="007313D0">
        <w:rPr>
          <w:rFonts w:ascii="Times New Roman" w:hAnsi="Times New Roman"/>
          <w:sz w:val="24"/>
          <w:szCs w:val="24"/>
        </w:rPr>
        <w:t xml:space="preserve">All 40 CSBs were SOR-funded; they developed prevention messaging with input from coalitions and community partners. Many used multiple platforms to customize information. CSBs and coalitions make data-driven decisions to customize messages and formats for different audiences. This year, 2.9 million individuals targeted with media outlets, over 260,000 items of educational material distributed, nearly 162,000 individuals reached at community events with opioid education and resources. </w:t>
      </w:r>
    </w:p>
    <w:p w14:paraId="18C2932A" w14:textId="23BFF963" w:rsidR="007313D0" w:rsidRPr="000F280D" w:rsidRDefault="007313D0" w:rsidP="009054AA">
      <w:pPr>
        <w:pStyle w:val="ListParagraph"/>
        <w:numPr>
          <w:ilvl w:val="0"/>
          <w:numId w:val="62"/>
        </w:numPr>
        <w:tabs>
          <w:tab w:val="left" w:pos="1080"/>
        </w:tabs>
        <w:spacing w:line="240" w:lineRule="auto"/>
        <w:rPr>
          <w:rFonts w:ascii="Times New Roman" w:eastAsia="Arial" w:hAnsi="Times New Roman"/>
          <w:sz w:val="24"/>
          <w:szCs w:val="24"/>
        </w:rPr>
      </w:pPr>
      <w:r w:rsidRPr="000F280D">
        <w:rPr>
          <w:rFonts w:ascii="Times New Roman" w:hAnsi="Times New Roman"/>
          <w:sz w:val="24"/>
          <w:szCs w:val="24"/>
        </w:rPr>
        <w:t xml:space="preserve">Curb the Crisis – </w:t>
      </w:r>
      <w:r w:rsidR="000F280D" w:rsidRPr="000F280D">
        <w:rPr>
          <w:rStyle w:val="normaltextrun"/>
          <w:rFonts w:ascii="Times New Roman" w:hAnsi="Times New Roman"/>
          <w:bCs/>
          <w:iCs/>
          <w:sz w:val="24"/>
          <w:szCs w:val="24"/>
        </w:rPr>
        <w:t xml:space="preserve">is </w:t>
      </w:r>
      <w:r w:rsidR="000F280D" w:rsidRPr="000F280D">
        <w:rPr>
          <w:rFonts w:ascii="Times New Roman" w:hAnsi="Times New Roman"/>
          <w:color w:val="202124"/>
          <w:sz w:val="24"/>
          <w:szCs w:val="24"/>
          <w:shd w:val="clear" w:color="auto" w:fill="FFFFFF"/>
        </w:rPr>
        <w:t xml:space="preserve">a website comprehensive resource </w:t>
      </w:r>
      <w:r w:rsidR="000F280D">
        <w:rPr>
          <w:rFonts w:ascii="Times New Roman" w:hAnsi="Times New Roman"/>
          <w:color w:val="202124"/>
          <w:sz w:val="24"/>
          <w:szCs w:val="24"/>
          <w:shd w:val="clear" w:color="auto" w:fill="FFFFFF"/>
        </w:rPr>
        <w:t xml:space="preserve">and media campaign </w:t>
      </w:r>
      <w:r w:rsidR="000F280D" w:rsidRPr="000F280D">
        <w:rPr>
          <w:rFonts w:ascii="Times New Roman" w:hAnsi="Times New Roman"/>
          <w:color w:val="202124"/>
          <w:sz w:val="24"/>
          <w:szCs w:val="24"/>
          <w:shd w:val="clear" w:color="auto" w:fill="FFFFFF"/>
        </w:rPr>
        <w:t xml:space="preserve">for all Virginians in the fight against opioid misuse and overdose. </w:t>
      </w:r>
      <w:r w:rsidR="000F280D" w:rsidRPr="000F280D">
        <w:rPr>
          <w:rFonts w:ascii="Times New Roman" w:hAnsi="Times New Roman"/>
          <w:sz w:val="24"/>
          <w:szCs w:val="24"/>
        </w:rPr>
        <w:t>During FY 202</w:t>
      </w:r>
      <w:r w:rsidR="000F280D">
        <w:rPr>
          <w:rFonts w:ascii="Times New Roman" w:hAnsi="Times New Roman"/>
          <w:sz w:val="24"/>
          <w:szCs w:val="24"/>
        </w:rPr>
        <w:t>2</w:t>
      </w:r>
      <w:r w:rsidR="000F280D" w:rsidRPr="000F280D">
        <w:rPr>
          <w:rFonts w:ascii="Times New Roman" w:hAnsi="Times New Roman"/>
          <w:sz w:val="24"/>
          <w:szCs w:val="24"/>
        </w:rPr>
        <w:t xml:space="preserve">, DBHDS worked with contractor </w:t>
      </w:r>
      <w:proofErr w:type="spellStart"/>
      <w:r w:rsidR="000F280D" w:rsidRPr="000F280D">
        <w:rPr>
          <w:rFonts w:ascii="Times New Roman" w:hAnsi="Times New Roman"/>
          <w:sz w:val="24"/>
          <w:szCs w:val="24"/>
        </w:rPr>
        <w:t>Reingold</w:t>
      </w:r>
      <w:proofErr w:type="spellEnd"/>
      <w:r w:rsidR="000F280D" w:rsidRPr="000F280D">
        <w:rPr>
          <w:rFonts w:ascii="Times New Roman" w:hAnsi="Times New Roman"/>
          <w:sz w:val="24"/>
          <w:szCs w:val="24"/>
        </w:rPr>
        <w:t xml:space="preserve"> </w:t>
      </w:r>
      <w:r w:rsidR="000F280D" w:rsidRPr="000F280D">
        <w:rPr>
          <w:rFonts w:ascii="Times New Roman" w:hAnsi="Times New Roman"/>
          <w:color w:val="202124"/>
          <w:sz w:val="24"/>
          <w:szCs w:val="24"/>
          <w:shd w:val="clear" w:color="auto" w:fill="FFFFFF"/>
        </w:rPr>
        <w:t>to begin a</w:t>
      </w:r>
      <w:r w:rsidR="000F280D" w:rsidRPr="000F280D">
        <w:rPr>
          <w:rFonts w:ascii="Times New Roman" w:hAnsi="Times New Roman"/>
          <w:bCs/>
          <w:color w:val="000000"/>
          <w:sz w:val="24"/>
          <w:szCs w:val="24"/>
        </w:rPr>
        <w:t xml:space="preserve"> paid media campaign started in late August 2020. The site drove </w:t>
      </w:r>
      <w:r w:rsidR="000F280D" w:rsidRPr="000F280D">
        <w:rPr>
          <w:rFonts w:ascii="Times New Roman" w:hAnsi="Times New Roman"/>
          <w:color w:val="222222"/>
          <w:sz w:val="24"/>
          <w:szCs w:val="24"/>
        </w:rPr>
        <w:t>170,254 page views</w:t>
      </w:r>
      <w:r w:rsidR="000F280D" w:rsidRPr="000F280D">
        <w:rPr>
          <w:rFonts w:ascii="Times New Roman" w:hAnsi="Times New Roman"/>
          <w:bCs/>
          <w:color w:val="000000"/>
          <w:sz w:val="24"/>
          <w:szCs w:val="24"/>
        </w:rPr>
        <w:t xml:space="preserve">. There were </w:t>
      </w:r>
      <w:r w:rsidR="007E36B5">
        <w:rPr>
          <w:rFonts w:ascii="Times New Roman" w:hAnsi="Times New Roman"/>
          <w:bCs/>
          <w:color w:val="000000"/>
          <w:sz w:val="24"/>
          <w:szCs w:val="24"/>
        </w:rPr>
        <w:t>2,757</w:t>
      </w:r>
      <w:r w:rsidR="000F280D" w:rsidRPr="000F280D">
        <w:rPr>
          <w:rFonts w:ascii="Times New Roman" w:hAnsi="Times New Roman"/>
          <w:bCs/>
          <w:color w:val="000000"/>
          <w:sz w:val="24"/>
          <w:szCs w:val="24"/>
        </w:rPr>
        <w:t xml:space="preserve"> uses of the resource locator. </w:t>
      </w:r>
      <w:r w:rsidR="000F280D" w:rsidRPr="000F280D">
        <w:rPr>
          <w:rFonts w:ascii="Times New Roman" w:hAnsi="Times New Roman"/>
          <w:color w:val="222222"/>
          <w:sz w:val="24"/>
          <w:szCs w:val="24"/>
        </w:rPr>
        <w:t>Facebook had 1.16 million clicks from 2.57 million impressions.</w:t>
      </w:r>
    </w:p>
    <w:p w14:paraId="2852A91A" w14:textId="77777777" w:rsidR="00CB22B5" w:rsidRPr="000F280D" w:rsidRDefault="00CB22B5" w:rsidP="00F46923">
      <w:pPr>
        <w:pStyle w:val="ListParagraph"/>
        <w:spacing w:line="240" w:lineRule="auto"/>
        <w:rPr>
          <w:rFonts w:ascii="Times New Roman" w:hAnsi="Times New Roman"/>
          <w:sz w:val="6"/>
          <w:szCs w:val="6"/>
        </w:rPr>
      </w:pPr>
    </w:p>
    <w:p w14:paraId="509EB702" w14:textId="77777777" w:rsidR="00427D5D" w:rsidRPr="00F4298E" w:rsidRDefault="00427D5D" w:rsidP="005100A1">
      <w:pPr>
        <w:rPr>
          <w:sz w:val="26"/>
          <w:szCs w:val="26"/>
        </w:rPr>
      </w:pPr>
      <w:r w:rsidRPr="00F4298E">
        <w:rPr>
          <w:b/>
          <w:bCs/>
          <w:i/>
          <w:iCs/>
          <w:sz w:val="26"/>
          <w:szCs w:val="26"/>
        </w:rPr>
        <w:t>Office of Recovery Support Services (ORS)</w:t>
      </w:r>
    </w:p>
    <w:p w14:paraId="65A4E514" w14:textId="3267F339" w:rsidR="00427D5D" w:rsidRPr="00E56E46" w:rsidRDefault="00427D5D" w:rsidP="009054AA">
      <w:pPr>
        <w:pStyle w:val="ListParagraph"/>
        <w:numPr>
          <w:ilvl w:val="0"/>
          <w:numId w:val="22"/>
        </w:numPr>
        <w:autoSpaceDE w:val="0"/>
        <w:autoSpaceDN w:val="0"/>
        <w:spacing w:after="0" w:line="240" w:lineRule="auto"/>
        <w:ind w:left="540"/>
        <w:rPr>
          <w:rFonts w:ascii="Times New Roman" w:hAnsi="Times New Roman"/>
          <w:sz w:val="24"/>
          <w:szCs w:val="24"/>
        </w:rPr>
      </w:pPr>
      <w:r w:rsidRPr="00E56E46">
        <w:rPr>
          <w:rFonts w:ascii="Times New Roman" w:hAnsi="Times New Roman"/>
          <w:sz w:val="24"/>
          <w:szCs w:val="24"/>
        </w:rPr>
        <w:lastRenderedPageBreak/>
        <w:t xml:space="preserve">Workforce Development </w:t>
      </w:r>
      <w:r w:rsidR="00046AFC" w:rsidRPr="00E56E46">
        <w:rPr>
          <w:rFonts w:ascii="Times New Roman" w:hAnsi="Times New Roman"/>
          <w:sz w:val="24"/>
          <w:szCs w:val="24"/>
        </w:rPr>
        <w:t xml:space="preserve">– </w:t>
      </w:r>
      <w:r w:rsidRPr="00E56E46">
        <w:rPr>
          <w:rFonts w:ascii="Times New Roman" w:hAnsi="Times New Roman"/>
          <w:sz w:val="24"/>
          <w:szCs w:val="24"/>
        </w:rPr>
        <w:t>Trained and certified peer recovery (CPRS) workforce</w:t>
      </w:r>
      <w:r w:rsidR="00046AFC" w:rsidRPr="00E56E46">
        <w:rPr>
          <w:rFonts w:ascii="Times New Roman" w:hAnsi="Times New Roman"/>
          <w:sz w:val="24"/>
          <w:szCs w:val="24"/>
        </w:rPr>
        <w:t xml:space="preserve">. There are currently </w:t>
      </w:r>
      <w:r w:rsidRPr="00E56E46">
        <w:rPr>
          <w:rFonts w:ascii="Times New Roman" w:hAnsi="Times New Roman"/>
          <w:sz w:val="24"/>
          <w:szCs w:val="24"/>
        </w:rPr>
        <w:t>863 individuals in active CPRS status and 413 of those are RCPRS-Registered with the Board of Counseling.</w:t>
      </w:r>
      <w:r w:rsidR="00046AFC" w:rsidRPr="00E56E46">
        <w:rPr>
          <w:rFonts w:ascii="Times New Roman" w:hAnsi="Times New Roman"/>
          <w:sz w:val="24"/>
          <w:szCs w:val="24"/>
        </w:rPr>
        <w:t xml:space="preserve"> In addition:</w:t>
      </w:r>
    </w:p>
    <w:p w14:paraId="75CEE665" w14:textId="5137A7A3" w:rsidR="00046AFC" w:rsidRPr="00E56E46" w:rsidRDefault="00427D5D" w:rsidP="009054AA">
      <w:pPr>
        <w:pStyle w:val="ListParagraph"/>
        <w:numPr>
          <w:ilvl w:val="0"/>
          <w:numId w:val="54"/>
        </w:numPr>
        <w:autoSpaceDE w:val="0"/>
        <w:autoSpaceDN w:val="0"/>
        <w:spacing w:line="240" w:lineRule="auto"/>
        <w:ind w:left="1080"/>
        <w:rPr>
          <w:rFonts w:ascii="Times New Roman" w:hAnsi="Times New Roman"/>
          <w:sz w:val="24"/>
          <w:szCs w:val="24"/>
        </w:rPr>
      </w:pPr>
      <w:r w:rsidRPr="00E56E46">
        <w:rPr>
          <w:rFonts w:ascii="Times New Roman" w:hAnsi="Times New Roman"/>
          <w:sz w:val="24"/>
          <w:szCs w:val="24"/>
        </w:rPr>
        <w:t xml:space="preserve">862 </w:t>
      </w:r>
      <w:r w:rsidR="00046AFC" w:rsidRPr="00E56E46">
        <w:rPr>
          <w:rFonts w:ascii="Times New Roman" w:hAnsi="Times New Roman"/>
          <w:sz w:val="24"/>
          <w:szCs w:val="24"/>
        </w:rPr>
        <w:t>people took</w:t>
      </w:r>
      <w:r w:rsidRPr="00E56E46">
        <w:rPr>
          <w:rFonts w:ascii="Times New Roman" w:hAnsi="Times New Roman"/>
          <w:sz w:val="24"/>
          <w:szCs w:val="24"/>
        </w:rPr>
        <w:t xml:space="preserve"> the DBHDS 72</w:t>
      </w:r>
      <w:r w:rsidR="00046AFC" w:rsidRPr="00E56E46">
        <w:rPr>
          <w:rFonts w:ascii="Times New Roman" w:hAnsi="Times New Roman"/>
          <w:sz w:val="24"/>
          <w:szCs w:val="24"/>
        </w:rPr>
        <w:t>-h</w:t>
      </w:r>
      <w:r w:rsidRPr="00E56E46">
        <w:rPr>
          <w:rFonts w:ascii="Times New Roman" w:hAnsi="Times New Roman"/>
          <w:sz w:val="24"/>
          <w:szCs w:val="24"/>
        </w:rPr>
        <w:t xml:space="preserve">our </w:t>
      </w:r>
      <w:r w:rsidR="00046AFC" w:rsidRPr="00E56E46">
        <w:rPr>
          <w:rFonts w:ascii="Times New Roman" w:hAnsi="Times New Roman"/>
          <w:sz w:val="24"/>
          <w:szCs w:val="24"/>
        </w:rPr>
        <w:t>peer recovery specialist t</w:t>
      </w:r>
      <w:r w:rsidRPr="00E56E46">
        <w:rPr>
          <w:rFonts w:ascii="Times New Roman" w:hAnsi="Times New Roman"/>
          <w:sz w:val="24"/>
          <w:szCs w:val="24"/>
        </w:rPr>
        <w:t xml:space="preserve">raining </w:t>
      </w:r>
      <w:r w:rsidR="00046AFC" w:rsidRPr="00E56E46">
        <w:rPr>
          <w:rFonts w:ascii="Times New Roman" w:hAnsi="Times New Roman"/>
          <w:sz w:val="24"/>
          <w:szCs w:val="24"/>
        </w:rPr>
        <w:t>in FY 2022.</w:t>
      </w:r>
    </w:p>
    <w:p w14:paraId="537B0526" w14:textId="47D4389D" w:rsidR="00046AFC" w:rsidRPr="00E56E46" w:rsidRDefault="00427D5D" w:rsidP="009054AA">
      <w:pPr>
        <w:pStyle w:val="ListParagraph"/>
        <w:numPr>
          <w:ilvl w:val="0"/>
          <w:numId w:val="54"/>
        </w:numPr>
        <w:autoSpaceDE w:val="0"/>
        <w:autoSpaceDN w:val="0"/>
        <w:spacing w:line="240" w:lineRule="auto"/>
        <w:ind w:left="1080"/>
        <w:rPr>
          <w:rFonts w:ascii="Times New Roman" w:hAnsi="Times New Roman"/>
          <w:sz w:val="24"/>
          <w:szCs w:val="24"/>
        </w:rPr>
      </w:pPr>
      <w:r w:rsidRPr="00E56E46">
        <w:rPr>
          <w:rFonts w:ascii="Times New Roman" w:hAnsi="Times New Roman"/>
          <w:sz w:val="24"/>
          <w:szCs w:val="24"/>
        </w:rPr>
        <w:t>3</w:t>
      </w:r>
      <w:r w:rsidR="00046AFC" w:rsidRPr="00E56E46">
        <w:rPr>
          <w:rFonts w:ascii="Times New Roman" w:hAnsi="Times New Roman"/>
          <w:sz w:val="24"/>
          <w:szCs w:val="24"/>
        </w:rPr>
        <w:t>,</w:t>
      </w:r>
      <w:r w:rsidRPr="00E56E46">
        <w:rPr>
          <w:rFonts w:ascii="Times New Roman" w:hAnsi="Times New Roman"/>
          <w:sz w:val="24"/>
          <w:szCs w:val="24"/>
        </w:rPr>
        <w:t>945</w:t>
      </w:r>
      <w:r w:rsidR="00046AFC" w:rsidRPr="00E56E46">
        <w:rPr>
          <w:rFonts w:ascii="Times New Roman" w:hAnsi="Times New Roman"/>
          <w:sz w:val="24"/>
          <w:szCs w:val="24"/>
        </w:rPr>
        <w:t xml:space="preserve"> people have been trained since January 2017. </w:t>
      </w:r>
    </w:p>
    <w:p w14:paraId="0F8ABA26" w14:textId="357716F5" w:rsidR="00427D5D" w:rsidRPr="00E56E46" w:rsidRDefault="00046AFC" w:rsidP="009054AA">
      <w:pPr>
        <w:pStyle w:val="ListParagraph"/>
        <w:numPr>
          <w:ilvl w:val="0"/>
          <w:numId w:val="54"/>
        </w:numPr>
        <w:autoSpaceDE w:val="0"/>
        <w:autoSpaceDN w:val="0"/>
        <w:spacing w:line="240" w:lineRule="auto"/>
        <w:ind w:left="1080"/>
        <w:rPr>
          <w:rFonts w:ascii="Times New Roman" w:hAnsi="Times New Roman"/>
          <w:sz w:val="24"/>
          <w:szCs w:val="24"/>
        </w:rPr>
      </w:pPr>
      <w:r w:rsidRPr="00E56E46">
        <w:rPr>
          <w:rFonts w:ascii="Times New Roman" w:hAnsi="Times New Roman"/>
          <w:sz w:val="24"/>
          <w:szCs w:val="24"/>
        </w:rPr>
        <w:t xml:space="preserve">70 people </w:t>
      </w:r>
      <w:r w:rsidR="00427D5D" w:rsidRPr="00E56E46">
        <w:rPr>
          <w:rFonts w:ascii="Times New Roman" w:hAnsi="Times New Roman"/>
          <w:sz w:val="24"/>
          <w:szCs w:val="24"/>
        </w:rPr>
        <w:t xml:space="preserve">completed the online, on demand supervisor training </w:t>
      </w:r>
      <w:r w:rsidRPr="00E56E46">
        <w:rPr>
          <w:rFonts w:ascii="Times New Roman" w:hAnsi="Times New Roman"/>
          <w:sz w:val="24"/>
          <w:szCs w:val="24"/>
        </w:rPr>
        <w:t>in</w:t>
      </w:r>
      <w:r w:rsidR="00427D5D" w:rsidRPr="00E56E46">
        <w:rPr>
          <w:rFonts w:ascii="Times New Roman" w:hAnsi="Times New Roman"/>
          <w:sz w:val="24"/>
          <w:szCs w:val="24"/>
        </w:rPr>
        <w:t xml:space="preserve"> </w:t>
      </w:r>
      <w:r w:rsidRPr="00E56E46">
        <w:rPr>
          <w:rFonts w:ascii="Times New Roman" w:hAnsi="Times New Roman"/>
          <w:sz w:val="24"/>
          <w:szCs w:val="24"/>
        </w:rPr>
        <w:t>FY 2022.</w:t>
      </w:r>
    </w:p>
    <w:p w14:paraId="5C869A86" w14:textId="1B48A954" w:rsidR="00427D5D" w:rsidRPr="00E56E46" w:rsidRDefault="00427D5D" w:rsidP="009054AA">
      <w:pPr>
        <w:pStyle w:val="ListParagraph"/>
        <w:numPr>
          <w:ilvl w:val="0"/>
          <w:numId w:val="21"/>
        </w:numPr>
        <w:autoSpaceDE w:val="0"/>
        <w:autoSpaceDN w:val="0"/>
        <w:spacing w:after="0" w:line="240" w:lineRule="auto"/>
        <w:ind w:left="540"/>
        <w:rPr>
          <w:rFonts w:ascii="Times New Roman" w:hAnsi="Times New Roman"/>
          <w:sz w:val="24"/>
          <w:szCs w:val="24"/>
        </w:rPr>
      </w:pPr>
      <w:r w:rsidRPr="00E56E46">
        <w:rPr>
          <w:rFonts w:ascii="Times New Roman" w:hAnsi="Times New Roman"/>
          <w:sz w:val="24"/>
          <w:szCs w:val="24"/>
        </w:rPr>
        <w:t>Recovery Community Organizations (RCOs)</w:t>
      </w:r>
      <w:r w:rsidR="00046AFC" w:rsidRPr="00E56E46">
        <w:rPr>
          <w:rFonts w:ascii="Times New Roman" w:hAnsi="Times New Roman"/>
          <w:sz w:val="24"/>
          <w:szCs w:val="24"/>
        </w:rPr>
        <w:t xml:space="preserve"> – Funded </w:t>
      </w:r>
      <w:r w:rsidRPr="00E56E46">
        <w:rPr>
          <w:rFonts w:ascii="Times New Roman" w:hAnsi="Times New Roman"/>
          <w:sz w:val="24"/>
          <w:szCs w:val="24"/>
        </w:rPr>
        <w:t xml:space="preserve">additional </w:t>
      </w:r>
      <w:r w:rsidR="00046AFC" w:rsidRPr="00E56E46">
        <w:rPr>
          <w:rFonts w:ascii="Times New Roman" w:hAnsi="Times New Roman"/>
          <w:sz w:val="24"/>
          <w:szCs w:val="24"/>
        </w:rPr>
        <w:t>RCOs</w:t>
      </w:r>
      <w:r w:rsidRPr="00E56E46">
        <w:rPr>
          <w:rFonts w:ascii="Times New Roman" w:hAnsi="Times New Roman"/>
          <w:sz w:val="24"/>
          <w:szCs w:val="24"/>
        </w:rPr>
        <w:t xml:space="preserve"> throughout the Commonwealth</w:t>
      </w:r>
      <w:r w:rsidR="00046AFC" w:rsidRPr="00E56E46">
        <w:rPr>
          <w:rFonts w:ascii="Times New Roman" w:hAnsi="Times New Roman"/>
          <w:sz w:val="24"/>
          <w:szCs w:val="24"/>
        </w:rPr>
        <w:t xml:space="preserve">: </w:t>
      </w:r>
      <w:proofErr w:type="spellStart"/>
      <w:r w:rsidRPr="00E56E46">
        <w:rPr>
          <w:rFonts w:ascii="Times New Roman" w:hAnsi="Times New Roman"/>
          <w:sz w:val="24"/>
          <w:szCs w:val="24"/>
        </w:rPr>
        <w:t>McShin</w:t>
      </w:r>
      <w:proofErr w:type="spellEnd"/>
      <w:r w:rsidRPr="00E56E46">
        <w:rPr>
          <w:rFonts w:ascii="Times New Roman" w:hAnsi="Times New Roman"/>
          <w:sz w:val="24"/>
          <w:szCs w:val="24"/>
        </w:rPr>
        <w:t xml:space="preserve"> Foundation located in Richmond, Robin’s Hope located in Chesterfield County, Strength in Peers located in Harrisonburg, Chris Atwood Foundation located in Reston, and Family Support Partners of Virginia, which is specific to supporting parents and caregivers, is located Mechanicsville. </w:t>
      </w:r>
    </w:p>
    <w:p w14:paraId="64E90FF8" w14:textId="60B749A3" w:rsidR="00EA4026" w:rsidRPr="00E56E46" w:rsidRDefault="00427D5D" w:rsidP="009054AA">
      <w:pPr>
        <w:pStyle w:val="ListParagraph"/>
        <w:numPr>
          <w:ilvl w:val="0"/>
          <w:numId w:val="21"/>
        </w:numPr>
        <w:autoSpaceDE w:val="0"/>
        <w:autoSpaceDN w:val="0"/>
        <w:spacing w:line="240" w:lineRule="auto"/>
        <w:ind w:left="540"/>
        <w:rPr>
          <w:rFonts w:ascii="Times New Roman" w:hAnsi="Times New Roman"/>
          <w:sz w:val="24"/>
          <w:szCs w:val="24"/>
        </w:rPr>
      </w:pPr>
      <w:r w:rsidRPr="00E56E46">
        <w:rPr>
          <w:rFonts w:ascii="Times New Roman" w:hAnsi="Times New Roman"/>
          <w:sz w:val="24"/>
          <w:szCs w:val="24"/>
        </w:rPr>
        <w:t>Recovery Residences</w:t>
      </w:r>
      <w:r w:rsidR="00EA4026" w:rsidRPr="00E56E46">
        <w:rPr>
          <w:rFonts w:ascii="Times New Roman" w:hAnsi="Times New Roman"/>
          <w:sz w:val="24"/>
          <w:szCs w:val="24"/>
        </w:rPr>
        <w:t xml:space="preserve"> –</w:t>
      </w:r>
      <w:r w:rsidR="00046AFC" w:rsidRPr="00E56E46">
        <w:rPr>
          <w:rFonts w:ascii="Times New Roman" w:hAnsi="Times New Roman"/>
          <w:sz w:val="24"/>
          <w:szCs w:val="24"/>
        </w:rPr>
        <w:t xml:space="preserve"> F</w:t>
      </w:r>
      <w:r w:rsidRPr="00E56E46">
        <w:rPr>
          <w:rFonts w:ascii="Times New Roman" w:hAnsi="Times New Roman"/>
          <w:sz w:val="24"/>
          <w:szCs w:val="24"/>
        </w:rPr>
        <w:t>und collaborative efforts to ensure Virginia’s most vulnerable SUD populations have safe and supportive housing choices. Virginia Association of Recovery Residencies (VARR) and Oxford House have expanded its coverage area to encompass the rural southwest regions of Virginia. Oxford Houses of Virginia provide over 3,000 beds and VARR almost 1,100 in the state.</w:t>
      </w:r>
    </w:p>
    <w:p w14:paraId="04B45202" w14:textId="67DE1539" w:rsidR="00EA4026" w:rsidRPr="00046AFC" w:rsidRDefault="00427D5D" w:rsidP="009054AA">
      <w:pPr>
        <w:pStyle w:val="ListParagraph"/>
        <w:numPr>
          <w:ilvl w:val="0"/>
          <w:numId w:val="21"/>
        </w:numPr>
        <w:autoSpaceDE w:val="0"/>
        <w:autoSpaceDN w:val="0"/>
        <w:spacing w:line="240" w:lineRule="auto"/>
        <w:ind w:left="540"/>
        <w:rPr>
          <w:rFonts w:ascii="Times New Roman" w:hAnsi="Times New Roman"/>
          <w:sz w:val="24"/>
          <w:szCs w:val="24"/>
        </w:rPr>
      </w:pPr>
      <w:r w:rsidRPr="00E56E46">
        <w:rPr>
          <w:rFonts w:ascii="Times New Roman" w:hAnsi="Times New Roman"/>
          <w:sz w:val="24"/>
          <w:szCs w:val="24"/>
        </w:rPr>
        <w:t>Peer Support House</w:t>
      </w:r>
      <w:r w:rsidR="00EA4026" w:rsidRPr="00E56E46">
        <w:rPr>
          <w:rFonts w:ascii="Times New Roman" w:hAnsi="Times New Roman"/>
          <w:sz w:val="24"/>
          <w:szCs w:val="24"/>
        </w:rPr>
        <w:t xml:space="preserve"> – </w:t>
      </w:r>
      <w:r w:rsidRPr="00E56E46">
        <w:rPr>
          <w:rFonts w:ascii="Times New Roman" w:hAnsi="Times New Roman"/>
          <w:sz w:val="24"/>
          <w:szCs w:val="24"/>
        </w:rPr>
        <w:t xml:space="preserve">In collaboration with the Mount Rogers CSB, </w:t>
      </w:r>
      <w:r w:rsidR="00046AFC" w:rsidRPr="00E56E46">
        <w:rPr>
          <w:rFonts w:ascii="Times New Roman" w:hAnsi="Times New Roman"/>
          <w:sz w:val="24"/>
          <w:szCs w:val="24"/>
        </w:rPr>
        <w:t>DBHDS</w:t>
      </w:r>
      <w:r w:rsidRPr="00E56E46">
        <w:rPr>
          <w:rFonts w:ascii="Times New Roman" w:hAnsi="Times New Roman"/>
          <w:sz w:val="24"/>
          <w:szCs w:val="24"/>
        </w:rPr>
        <w:t xml:space="preserve"> funded the development of Virginia’s first Peer Support House which will serve as a voluntary alternative for individuals at-risk for or experiencing a mental health crisis needing additional support but have not yet reached a need for traditional psychiatric hospitalization. The program will be open 24/7 with Peer Support Specialist available to address guests’ immediate needs. Given the rural nature of the catchment area and chronic housing crisis, the Peer Support House will be available for guest to stay up to 14 days. During this time, Peers will engage in peer-centered, recovery-oriented support, assist with the development of Wellness and Recovery Action Plans, and link guests to community resources to continue working towards recovery</w:t>
      </w:r>
      <w:r w:rsidRPr="00046AFC">
        <w:rPr>
          <w:rFonts w:ascii="Times New Roman" w:hAnsi="Times New Roman"/>
          <w:sz w:val="24"/>
          <w:szCs w:val="24"/>
        </w:rPr>
        <w:t>.</w:t>
      </w:r>
    </w:p>
    <w:p w14:paraId="668C6DD3" w14:textId="77777777" w:rsidR="00F4298E" w:rsidRDefault="00F4298E" w:rsidP="00CB22B5">
      <w:pPr>
        <w:pStyle w:val="paragraph"/>
        <w:shd w:val="clear" w:color="auto" w:fill="FFFFFF"/>
        <w:spacing w:before="0" w:beforeAutospacing="0" w:after="0" w:afterAutospacing="0"/>
        <w:textAlignment w:val="baseline"/>
        <w:rPr>
          <w:rStyle w:val="normaltextrun"/>
          <w:shd w:val="clear" w:color="auto" w:fill="FFFFFF"/>
        </w:rPr>
      </w:pPr>
      <w:r>
        <w:rPr>
          <w:b/>
          <w:i/>
          <w:iCs/>
          <w:sz w:val="28"/>
          <w:szCs w:val="28"/>
        </w:rPr>
        <w:br/>
      </w:r>
      <w:r w:rsidR="00CB22B5" w:rsidRPr="00F4298E">
        <w:rPr>
          <w:b/>
          <w:sz w:val="28"/>
          <w:szCs w:val="28"/>
        </w:rPr>
        <w:t>Community Cross-Disability Services</w:t>
      </w:r>
      <w:r w:rsidR="00CB22B5" w:rsidRPr="00B62B54">
        <w:rPr>
          <w:b/>
          <w:bCs/>
          <w:i/>
          <w:iCs/>
          <w:sz w:val="26"/>
          <w:szCs w:val="26"/>
        </w:rPr>
        <w:t> </w:t>
      </w:r>
      <w:r w:rsidR="00450EB1">
        <w:rPr>
          <w:b/>
          <w:bCs/>
          <w:i/>
          <w:iCs/>
          <w:sz w:val="26"/>
          <w:szCs w:val="26"/>
        </w:rPr>
        <w:br/>
      </w:r>
    </w:p>
    <w:p w14:paraId="005D6C7E" w14:textId="6459DD52" w:rsidR="00CB22B5" w:rsidRPr="00B62B54" w:rsidRDefault="00CB22B5" w:rsidP="00CB22B5">
      <w:pPr>
        <w:pStyle w:val="paragraph"/>
        <w:shd w:val="clear" w:color="auto" w:fill="FFFFFF"/>
        <w:spacing w:before="0" w:beforeAutospacing="0" w:after="0" w:afterAutospacing="0"/>
        <w:textAlignment w:val="baseline"/>
      </w:pPr>
      <w:r w:rsidRPr="00B62B54">
        <w:rPr>
          <w:rStyle w:val="normaltextrun"/>
          <w:shd w:val="clear" w:color="auto" w:fill="FFFFFF"/>
        </w:rPr>
        <w:t>DBHDS structured several initiatives to operate across disability group</w:t>
      </w:r>
      <w:r>
        <w:rPr>
          <w:rStyle w:val="normaltextrun"/>
          <w:shd w:val="clear" w:color="auto" w:fill="FFFFFF"/>
        </w:rPr>
        <w:t>s including community housing, community integration, and crisis s</w:t>
      </w:r>
      <w:r w:rsidRPr="00B62B54">
        <w:rPr>
          <w:rStyle w:val="normaltextrun"/>
          <w:shd w:val="clear" w:color="auto" w:fill="FFFFFF"/>
        </w:rPr>
        <w:t>ervices.</w:t>
      </w:r>
      <w:r w:rsidRPr="00B62B54">
        <w:rPr>
          <w:rStyle w:val="eop"/>
        </w:rPr>
        <w:t> </w:t>
      </w:r>
      <w:r w:rsidRPr="00B62B54">
        <w:rPr>
          <w:rStyle w:val="normaltextrun"/>
          <w:shd w:val="clear" w:color="auto" w:fill="FFFFFF"/>
        </w:rPr>
        <w:t xml:space="preserve">DBHDS is working to build a cross-disability, </w:t>
      </w:r>
      <w:proofErr w:type="gramStart"/>
      <w:r w:rsidRPr="00B62B54">
        <w:rPr>
          <w:rStyle w:val="normaltextrun"/>
          <w:shd w:val="clear" w:color="auto" w:fill="FFFFFF"/>
        </w:rPr>
        <w:t>child</w:t>
      </w:r>
      <w:proofErr w:type="gramEnd"/>
      <w:r w:rsidRPr="00B62B54">
        <w:rPr>
          <w:rStyle w:val="normaltextrun"/>
          <w:shd w:val="clear" w:color="auto" w:fill="FFFFFF"/>
        </w:rPr>
        <w:t xml:space="preserve"> and adult crisis services delivery system.  </w:t>
      </w:r>
      <w:r w:rsidRPr="00B62B54">
        <w:rPr>
          <w:rStyle w:val="eop"/>
        </w:rPr>
        <w:t> </w:t>
      </w:r>
    </w:p>
    <w:p w14:paraId="1B17C543" w14:textId="77777777" w:rsidR="00CB22B5" w:rsidRPr="00E26CE7" w:rsidRDefault="00CB22B5" w:rsidP="00CB22B5">
      <w:pPr>
        <w:pStyle w:val="paragraph"/>
        <w:shd w:val="clear" w:color="auto" w:fill="FFFFFF"/>
        <w:spacing w:before="0" w:beforeAutospacing="0" w:after="0" w:afterAutospacing="0"/>
        <w:textAlignment w:val="baseline"/>
        <w:rPr>
          <w:b/>
          <w:bCs/>
          <w:i/>
          <w:iCs/>
          <w:sz w:val="26"/>
          <w:szCs w:val="26"/>
        </w:rPr>
      </w:pPr>
      <w:r w:rsidRPr="00B62B54">
        <w:rPr>
          <w:rStyle w:val="normaltextrun"/>
          <w:b/>
          <w:bCs/>
          <w:i/>
          <w:iCs/>
          <w:szCs w:val="26"/>
        </w:rPr>
        <w:br/>
      </w:r>
      <w:r w:rsidRPr="00E26CE7">
        <w:rPr>
          <w:b/>
          <w:bCs/>
          <w:i/>
          <w:iCs/>
          <w:sz w:val="26"/>
          <w:szCs w:val="26"/>
        </w:rPr>
        <w:t>Crisis Services for Adults and Children</w:t>
      </w:r>
    </w:p>
    <w:p w14:paraId="79F76A9D" w14:textId="77777777" w:rsidR="00CB22B5" w:rsidRPr="00B62B54" w:rsidRDefault="00CB22B5" w:rsidP="00CB22B5">
      <w:pPr>
        <w:shd w:val="clear" w:color="auto" w:fill="FFFFFF" w:themeFill="background1"/>
        <w:tabs>
          <w:tab w:val="left" w:pos="630"/>
        </w:tabs>
      </w:pPr>
      <w:r w:rsidRPr="00B62B54">
        <w:t>Crisis services are a critical component of a comprehensive community service delivery system</w:t>
      </w:r>
      <w:r>
        <w:t xml:space="preserve"> that can respond to individual</w:t>
      </w:r>
      <w:r w:rsidRPr="00B62B54">
        <w:t>s</w:t>
      </w:r>
      <w:r>
        <w:t>’</w:t>
      </w:r>
      <w:r w:rsidRPr="00B62B54">
        <w:t xml:space="preserve"> needs and play a significant role in avoiding unnecessary hospitalization and further trauma.</w:t>
      </w:r>
    </w:p>
    <w:p w14:paraId="23C1F802" w14:textId="77777777" w:rsidR="00CB22B5" w:rsidRDefault="00CB22B5" w:rsidP="009054AA">
      <w:pPr>
        <w:pStyle w:val="ListParagraph"/>
        <w:numPr>
          <w:ilvl w:val="0"/>
          <w:numId w:val="14"/>
        </w:numPr>
        <w:spacing w:after="0" w:line="240" w:lineRule="auto"/>
        <w:ind w:left="547"/>
        <w:rPr>
          <w:rFonts w:ascii="Times New Roman" w:eastAsia="Times New Roman" w:hAnsi="Times New Roman"/>
          <w:sz w:val="24"/>
          <w:szCs w:val="24"/>
        </w:rPr>
      </w:pPr>
      <w:r>
        <w:rPr>
          <w:rFonts w:ascii="Times New Roman" w:eastAsia="Times New Roman" w:hAnsi="Times New Roman"/>
          <w:sz w:val="24"/>
          <w:szCs w:val="24"/>
        </w:rPr>
        <w:t>The statewide crisis data platform was initiated to gather data about crisis services across the Commonwealth from both private and public providers of crisis services.  The vendor has built out the intake and mobile crisis portion of the platform and is working on developing a new bed registry.</w:t>
      </w:r>
    </w:p>
    <w:p w14:paraId="635418A6" w14:textId="77777777" w:rsidR="00CB22B5" w:rsidRPr="00E34D0C" w:rsidRDefault="00CB22B5" w:rsidP="009054AA">
      <w:pPr>
        <w:pStyle w:val="ListParagraph"/>
        <w:numPr>
          <w:ilvl w:val="0"/>
          <w:numId w:val="14"/>
        </w:numPr>
        <w:spacing w:after="0" w:line="240" w:lineRule="auto"/>
        <w:ind w:left="547"/>
        <w:rPr>
          <w:rFonts w:ascii="Times New Roman" w:eastAsia="Times New Roman" w:hAnsi="Times New Roman"/>
          <w:sz w:val="24"/>
          <w:szCs w:val="24"/>
        </w:rPr>
      </w:pPr>
      <w:r>
        <w:rPr>
          <w:rFonts w:ascii="Times New Roman" w:eastAsia="Times New Roman" w:hAnsi="Times New Roman"/>
          <w:sz w:val="24"/>
          <w:szCs w:val="24"/>
        </w:rPr>
        <w:t xml:space="preserve">988 launched in Virginia on July 16, 2022.  DBHDS proactively prepared for this initiative through </w:t>
      </w:r>
      <w:r w:rsidRPr="00E34D0C">
        <w:rPr>
          <w:rFonts w:ascii="Times New Roman" w:eastAsia="Times New Roman" w:hAnsi="Times New Roman"/>
          <w:sz w:val="24"/>
          <w:szCs w:val="24"/>
        </w:rPr>
        <w:t xml:space="preserve">partnering with National Suicide Prevention Lifeline Providers in the </w:t>
      </w:r>
      <w:r w:rsidRPr="00E34D0C">
        <w:rPr>
          <w:rFonts w:ascii="Times New Roman" w:eastAsia="Times New Roman" w:hAnsi="Times New Roman"/>
          <w:sz w:val="24"/>
          <w:szCs w:val="24"/>
        </w:rPr>
        <w:lastRenderedPageBreak/>
        <w:t>Commonwealth to operationalize Virginia’s call center.  Through this process Virginia increased it’s in state answer rate from 55 percent to 85 percent.</w:t>
      </w:r>
    </w:p>
    <w:p w14:paraId="2C4293CA" w14:textId="77777777" w:rsidR="00CB22B5" w:rsidRPr="0042093A" w:rsidRDefault="00CB22B5" w:rsidP="009054AA">
      <w:pPr>
        <w:pStyle w:val="ListParagraph"/>
        <w:numPr>
          <w:ilvl w:val="0"/>
          <w:numId w:val="14"/>
        </w:numPr>
        <w:spacing w:after="0" w:line="240" w:lineRule="auto"/>
        <w:ind w:left="547"/>
        <w:rPr>
          <w:rFonts w:ascii="Times New Roman" w:eastAsia="Times New Roman" w:hAnsi="Times New Roman"/>
          <w:sz w:val="24"/>
          <w:szCs w:val="24"/>
        </w:rPr>
      </w:pPr>
      <w:r w:rsidRPr="00E34D0C">
        <w:rPr>
          <w:rFonts w:ascii="Times New Roman" w:hAnsi="Times New Roman"/>
          <w:sz w:val="24"/>
          <w:szCs w:val="24"/>
        </w:rPr>
        <w:t>Expanded two existing</w:t>
      </w:r>
      <w:r>
        <w:rPr>
          <w:rFonts w:ascii="Times New Roman" w:hAnsi="Times New Roman"/>
          <w:sz w:val="24"/>
          <w:szCs w:val="24"/>
        </w:rPr>
        <w:t xml:space="preserve"> crisis intervention team assessment center (</w:t>
      </w:r>
      <w:r w:rsidRPr="00E34D0C">
        <w:rPr>
          <w:rFonts w:ascii="Times New Roman" w:hAnsi="Times New Roman"/>
          <w:sz w:val="24"/>
          <w:szCs w:val="24"/>
        </w:rPr>
        <w:t>CITAC</w:t>
      </w:r>
      <w:r>
        <w:rPr>
          <w:rFonts w:ascii="Times New Roman" w:hAnsi="Times New Roman"/>
          <w:sz w:val="24"/>
          <w:szCs w:val="24"/>
        </w:rPr>
        <w:t>)</w:t>
      </w:r>
      <w:r w:rsidRPr="00E34D0C">
        <w:rPr>
          <w:rFonts w:ascii="Times New Roman" w:hAnsi="Times New Roman"/>
          <w:sz w:val="24"/>
          <w:szCs w:val="24"/>
        </w:rPr>
        <w:t xml:space="preserve"> sites and opened two new </w:t>
      </w:r>
      <w:r>
        <w:rPr>
          <w:rFonts w:ascii="Times New Roman" w:hAnsi="Times New Roman"/>
          <w:sz w:val="24"/>
          <w:szCs w:val="24"/>
        </w:rPr>
        <w:t>c</w:t>
      </w:r>
      <w:r w:rsidRPr="00E34D0C">
        <w:rPr>
          <w:rFonts w:ascii="Times New Roman" w:hAnsi="Times New Roman"/>
          <w:sz w:val="24"/>
          <w:szCs w:val="24"/>
        </w:rPr>
        <w:t xml:space="preserve">risis </w:t>
      </w:r>
      <w:r>
        <w:rPr>
          <w:rFonts w:ascii="Times New Roman" w:hAnsi="Times New Roman"/>
          <w:sz w:val="24"/>
          <w:szCs w:val="24"/>
        </w:rPr>
        <w:t>r</w:t>
      </w:r>
      <w:r w:rsidRPr="00E34D0C">
        <w:rPr>
          <w:rFonts w:ascii="Times New Roman" w:hAnsi="Times New Roman"/>
          <w:sz w:val="24"/>
          <w:szCs w:val="24"/>
        </w:rPr>
        <w:t xml:space="preserve">eceiving </w:t>
      </w:r>
      <w:r>
        <w:rPr>
          <w:rFonts w:ascii="Times New Roman" w:hAnsi="Times New Roman"/>
          <w:sz w:val="24"/>
          <w:szCs w:val="24"/>
        </w:rPr>
        <w:t>c</w:t>
      </w:r>
      <w:r w:rsidRPr="00E34D0C">
        <w:rPr>
          <w:rFonts w:ascii="Times New Roman" w:hAnsi="Times New Roman"/>
          <w:sz w:val="24"/>
          <w:szCs w:val="24"/>
        </w:rPr>
        <w:t xml:space="preserve">enters (CRCs) </w:t>
      </w:r>
      <w:proofErr w:type="gramStart"/>
      <w:r w:rsidRPr="00E34D0C">
        <w:rPr>
          <w:rFonts w:ascii="Times New Roman" w:hAnsi="Times New Roman"/>
          <w:sz w:val="24"/>
          <w:szCs w:val="24"/>
        </w:rPr>
        <w:t>through the use of</w:t>
      </w:r>
      <w:proofErr w:type="gramEnd"/>
      <w:r w:rsidRPr="00E34D0C">
        <w:rPr>
          <w:rFonts w:ascii="Times New Roman" w:hAnsi="Times New Roman"/>
          <w:sz w:val="24"/>
          <w:szCs w:val="24"/>
        </w:rPr>
        <w:t xml:space="preserve"> diligently appropriated grant funding; these are intended to provide de-escalation and treatment for clients experiencing crises; these programs in Highlands and New River Valley CSBs include </w:t>
      </w:r>
      <w:r w:rsidRPr="0042093A">
        <w:rPr>
          <w:rFonts w:ascii="Times New Roman" w:hAnsi="Times New Roman"/>
          <w:sz w:val="24"/>
          <w:szCs w:val="24"/>
        </w:rPr>
        <w:t xml:space="preserve">medical, psychiatric, and clinical supports for those in crisis. </w:t>
      </w:r>
    </w:p>
    <w:p w14:paraId="112C6D0D" w14:textId="77777777" w:rsidR="00CB22B5" w:rsidRPr="0042093A" w:rsidRDefault="00CB22B5" w:rsidP="009054AA">
      <w:pPr>
        <w:pStyle w:val="ListParagraph"/>
        <w:numPr>
          <w:ilvl w:val="0"/>
          <w:numId w:val="14"/>
        </w:numPr>
        <w:spacing w:after="0" w:line="240" w:lineRule="auto"/>
        <w:ind w:left="547"/>
        <w:rPr>
          <w:rFonts w:ascii="Times New Roman" w:eastAsia="Times New Roman" w:hAnsi="Times New Roman"/>
          <w:sz w:val="24"/>
          <w:szCs w:val="24"/>
        </w:rPr>
      </w:pPr>
      <w:r w:rsidRPr="0042093A">
        <w:rPr>
          <w:rFonts w:ascii="Times New Roman" w:eastAsia="Times New Roman" w:hAnsi="Times New Roman"/>
          <w:sz w:val="24"/>
          <w:szCs w:val="24"/>
        </w:rPr>
        <w:t xml:space="preserve">The child Regional Education Assessment Crisis Services Habilitation (REACH) program received 1,389 referrals. </w:t>
      </w:r>
      <w:r w:rsidRPr="0042093A">
        <w:rPr>
          <w:rFonts w:ascii="Times New Roman" w:hAnsi="Times New Roman"/>
          <w:sz w:val="24"/>
          <w:szCs w:val="24"/>
        </w:rPr>
        <w:t>The adult REACH program received 1,973 referrals.</w:t>
      </w:r>
    </w:p>
    <w:p w14:paraId="706035D4" w14:textId="77777777" w:rsidR="00CB22B5" w:rsidRPr="00B62B54" w:rsidRDefault="00CB22B5" w:rsidP="00CB22B5">
      <w:pPr>
        <w:pStyle w:val="ListParagraph"/>
        <w:spacing w:after="0" w:line="240" w:lineRule="auto"/>
        <w:ind w:left="547"/>
        <w:rPr>
          <w:rFonts w:ascii="Times New Roman" w:eastAsia="Times New Roman" w:hAnsi="Times New Roman"/>
          <w:sz w:val="24"/>
          <w:szCs w:val="24"/>
        </w:rPr>
      </w:pPr>
    </w:p>
    <w:p w14:paraId="35FE095E" w14:textId="77777777" w:rsidR="00CB22B5" w:rsidRPr="00E26CE7" w:rsidRDefault="00CB22B5" w:rsidP="00CB22B5">
      <w:pPr>
        <w:pStyle w:val="paragraph"/>
        <w:shd w:val="clear" w:color="auto" w:fill="FFFFFF"/>
        <w:spacing w:before="0" w:beforeAutospacing="0" w:after="0" w:afterAutospacing="0"/>
        <w:textAlignment w:val="baseline"/>
        <w:rPr>
          <w:sz w:val="26"/>
          <w:szCs w:val="26"/>
        </w:rPr>
      </w:pPr>
      <w:r w:rsidRPr="00E26CE7">
        <w:rPr>
          <w:rStyle w:val="normaltextrun"/>
          <w:b/>
          <w:bCs/>
          <w:i/>
          <w:iCs/>
          <w:sz w:val="26"/>
          <w:szCs w:val="26"/>
        </w:rPr>
        <w:t>Community Housing </w:t>
      </w:r>
      <w:r w:rsidRPr="00E26CE7">
        <w:rPr>
          <w:rStyle w:val="eop"/>
          <w:sz w:val="26"/>
          <w:szCs w:val="26"/>
        </w:rPr>
        <w:t> </w:t>
      </w:r>
    </w:p>
    <w:p w14:paraId="6DBA1EA8" w14:textId="77777777" w:rsidR="00CB22B5" w:rsidRPr="00D15731" w:rsidRDefault="00CB22B5" w:rsidP="009054AA">
      <w:pPr>
        <w:pStyle w:val="paragraph"/>
        <w:numPr>
          <w:ilvl w:val="0"/>
          <w:numId w:val="11"/>
        </w:numPr>
        <w:shd w:val="clear" w:color="auto" w:fill="FFFFFF" w:themeFill="background1"/>
        <w:spacing w:before="0" w:beforeAutospacing="0" w:after="0" w:afterAutospacing="0"/>
        <w:ind w:left="547"/>
        <w:textAlignment w:val="baseline"/>
        <w:rPr>
          <w:rStyle w:val="normaltextrun"/>
        </w:rPr>
      </w:pPr>
      <w:r w:rsidRPr="00D15731">
        <w:rPr>
          <w:rStyle w:val="normaltextrun"/>
        </w:rPr>
        <w:t>Invested $34 million to establish and sustain 25 permanent supportive housing</w:t>
      </w:r>
      <w:r>
        <w:rPr>
          <w:rStyle w:val="normaltextrun"/>
        </w:rPr>
        <w:t xml:space="preserve"> (PSH) providers </w:t>
      </w:r>
      <w:r w:rsidRPr="00D15731">
        <w:rPr>
          <w:rStyle w:val="normaltextrun"/>
        </w:rPr>
        <w:t xml:space="preserve">across the state to serve more than 2,000 individuals with SMI. </w:t>
      </w:r>
    </w:p>
    <w:p w14:paraId="18370620" w14:textId="77777777" w:rsidR="00CB22B5" w:rsidRPr="00D15731" w:rsidRDefault="00CB22B5" w:rsidP="009054AA">
      <w:pPr>
        <w:pStyle w:val="paragraph"/>
        <w:numPr>
          <w:ilvl w:val="0"/>
          <w:numId w:val="11"/>
        </w:numPr>
        <w:shd w:val="clear" w:color="auto" w:fill="FFFFFF" w:themeFill="background1"/>
        <w:spacing w:before="0" w:beforeAutospacing="0" w:after="0" w:afterAutospacing="0"/>
        <w:ind w:left="547"/>
        <w:rPr>
          <w:rStyle w:val="normaltextrun"/>
        </w:rPr>
      </w:pPr>
      <w:r w:rsidRPr="00D15731">
        <w:rPr>
          <w:rStyle w:val="normaltextrun"/>
        </w:rPr>
        <w:t xml:space="preserve">Contracted with three non-profit housing providers to work with owners of </w:t>
      </w:r>
      <w:proofErr w:type="gramStart"/>
      <w:r w:rsidRPr="00D15731">
        <w:rPr>
          <w:rStyle w:val="normaltextrun"/>
        </w:rPr>
        <w:t>Low Income</w:t>
      </w:r>
      <w:proofErr w:type="gramEnd"/>
      <w:r w:rsidRPr="00D15731">
        <w:rPr>
          <w:rStyle w:val="normaltextrun"/>
        </w:rPr>
        <w:t xml:space="preserve"> Housing Tax Credit properties to provide on-site services to tenants with SMI or I/DD.</w:t>
      </w:r>
    </w:p>
    <w:p w14:paraId="11F2AD1B" w14:textId="77777777" w:rsidR="00CB22B5" w:rsidRPr="00D15731" w:rsidRDefault="00CB22B5" w:rsidP="009054AA">
      <w:pPr>
        <w:pStyle w:val="paragraph"/>
        <w:numPr>
          <w:ilvl w:val="0"/>
          <w:numId w:val="11"/>
        </w:numPr>
        <w:shd w:val="clear" w:color="auto" w:fill="FFFFFF"/>
        <w:spacing w:before="0" w:beforeAutospacing="0" w:after="0" w:afterAutospacing="0"/>
        <w:ind w:left="547"/>
        <w:textAlignment w:val="baseline"/>
        <w:rPr>
          <w:rStyle w:val="normaltextrun"/>
        </w:rPr>
      </w:pPr>
      <w:r w:rsidRPr="00D15731">
        <w:rPr>
          <w:rStyle w:val="normaltextrun"/>
        </w:rPr>
        <w:t xml:space="preserve">Invested $1.6 million to serve 75 households with a pregnant or parenting woman with substance use disorder. </w:t>
      </w:r>
    </w:p>
    <w:p w14:paraId="25E7901E" w14:textId="77777777" w:rsidR="00CB22B5" w:rsidRPr="00D15731" w:rsidRDefault="00CB22B5" w:rsidP="009054AA">
      <w:pPr>
        <w:pStyle w:val="paragraph"/>
        <w:numPr>
          <w:ilvl w:val="0"/>
          <w:numId w:val="11"/>
        </w:numPr>
        <w:shd w:val="clear" w:color="auto" w:fill="FFFFFF"/>
        <w:spacing w:before="0" w:beforeAutospacing="0" w:after="0" w:afterAutospacing="0"/>
        <w:ind w:left="547"/>
        <w:textAlignment w:val="baseline"/>
      </w:pPr>
      <w:r w:rsidRPr="00D15731">
        <w:rPr>
          <w:rStyle w:val="normaltextrun"/>
        </w:rPr>
        <w:t>Allocated $1.</w:t>
      </w:r>
      <w:r>
        <w:rPr>
          <w:rStyle w:val="normaltextrun"/>
        </w:rPr>
        <w:t>5</w:t>
      </w:r>
      <w:r w:rsidRPr="00D15731">
        <w:rPr>
          <w:rStyle w:val="normaltextrun"/>
        </w:rPr>
        <w:t xml:space="preserve"> million in federal Projects for Assistance in Transition from Homelessness (PATH) funds to 14 CSBs to provide outreach and case management services to</w:t>
      </w:r>
      <w:r>
        <w:rPr>
          <w:rStyle w:val="normaltextrun"/>
        </w:rPr>
        <w:t xml:space="preserve"> people with SMI</w:t>
      </w:r>
      <w:r w:rsidRPr="00D15731">
        <w:rPr>
          <w:rStyle w:val="normaltextrun"/>
        </w:rPr>
        <w:t xml:space="preserve"> experiencing homelessness. Virginia PATH providers engaged more than 2,000 homeless individuals through street outreach and shelter in-reach.</w:t>
      </w:r>
      <w:r w:rsidRPr="00D15731">
        <w:rPr>
          <w:rStyle w:val="eop"/>
        </w:rPr>
        <w:t> </w:t>
      </w:r>
    </w:p>
    <w:p w14:paraId="3F90A84A" w14:textId="77777777" w:rsidR="00CB22B5" w:rsidRPr="00D15731" w:rsidRDefault="00CB22B5" w:rsidP="009054AA">
      <w:pPr>
        <w:pStyle w:val="paragraph"/>
        <w:numPr>
          <w:ilvl w:val="0"/>
          <w:numId w:val="11"/>
        </w:numPr>
        <w:shd w:val="clear" w:color="auto" w:fill="FFFFFF" w:themeFill="background1"/>
        <w:spacing w:before="0" w:beforeAutospacing="0" w:after="0" w:afterAutospacing="0"/>
        <w:ind w:left="547"/>
        <w:textAlignment w:val="baseline"/>
      </w:pPr>
      <w:r w:rsidRPr="00D15731">
        <w:rPr>
          <w:rStyle w:val="normaltextrun"/>
        </w:rPr>
        <w:t xml:space="preserve">By the end of the fiscal year, </w:t>
      </w:r>
      <w:r>
        <w:rPr>
          <w:rStyle w:val="normaltextrun"/>
        </w:rPr>
        <w:t>nearly nine percent</w:t>
      </w:r>
      <w:r w:rsidRPr="00D15731">
        <w:rPr>
          <w:rStyle w:val="normaltextrun"/>
        </w:rPr>
        <w:t xml:space="preserve"> of adults in the Settlement Agreement population were living independently. Their housing opportunities were provided primarily through DBHDS’s State Rental Assistance Program funding and through 227 housing choice vouchers committed through housing authority preferences. Since these housing efforts were initiated, 1,806 individuals have been assisted to live independently.</w:t>
      </w:r>
      <w:r w:rsidRPr="00D15731">
        <w:rPr>
          <w:rStyle w:val="eop"/>
        </w:rPr>
        <w:t> </w:t>
      </w:r>
    </w:p>
    <w:p w14:paraId="2B94ED1C" w14:textId="77777777" w:rsidR="00CB22B5" w:rsidRPr="00D15731" w:rsidRDefault="00CB22B5" w:rsidP="009054AA">
      <w:pPr>
        <w:pStyle w:val="paragraph"/>
        <w:numPr>
          <w:ilvl w:val="0"/>
          <w:numId w:val="12"/>
        </w:numPr>
        <w:shd w:val="clear" w:color="auto" w:fill="FFFFFF" w:themeFill="background1"/>
        <w:spacing w:before="0" w:beforeAutospacing="0" w:after="0" w:afterAutospacing="0"/>
        <w:ind w:left="547"/>
        <w:textAlignment w:val="baseline"/>
        <w:rPr>
          <w:rStyle w:val="normaltextrun"/>
        </w:rPr>
      </w:pPr>
      <w:r w:rsidRPr="00D15731">
        <w:rPr>
          <w:rStyle w:val="normaltextrun"/>
        </w:rPr>
        <w:t>DBHDS’s State SOAR Coordinator provided targeted Supplemental Security Income/Disability Insurance (SSI/DI) Outreach, Access, and Recovery (SOAR) training to state hospital staff, jail discharge planners, and community homeless services providers. Virginia’s SOAR approval rate for disability applications exceeded the national average.</w:t>
      </w:r>
    </w:p>
    <w:p w14:paraId="30BE0BBA" w14:textId="77777777" w:rsidR="00CB22B5" w:rsidRDefault="00CB22B5" w:rsidP="00F40967">
      <w:pPr>
        <w:pStyle w:val="ListParagraph"/>
        <w:spacing w:after="0" w:line="240" w:lineRule="auto"/>
        <w:ind w:left="0"/>
        <w:textAlignment w:val="baseline"/>
        <w:rPr>
          <w:b/>
          <w:bCs/>
          <w:i/>
        </w:rPr>
      </w:pPr>
    </w:p>
    <w:p w14:paraId="5A2B49F7" w14:textId="50ADA5CA" w:rsidR="00092595" w:rsidRPr="00E26CE7" w:rsidRDefault="007B4EA3" w:rsidP="00F40967">
      <w:pPr>
        <w:pStyle w:val="ListParagraph"/>
        <w:spacing w:after="0" w:line="240" w:lineRule="auto"/>
        <w:ind w:left="0"/>
        <w:textAlignment w:val="baseline"/>
        <w:rPr>
          <w:rFonts w:ascii="Times New Roman" w:hAnsi="Times New Roman"/>
          <w:b/>
          <w:bCs/>
          <w:iCs/>
          <w:sz w:val="28"/>
        </w:rPr>
      </w:pPr>
      <w:r w:rsidRPr="00B62B54">
        <w:rPr>
          <w:b/>
          <w:bCs/>
          <w:i/>
        </w:rPr>
        <w:br/>
      </w:r>
      <w:r w:rsidR="00092595" w:rsidRPr="00E26CE7">
        <w:rPr>
          <w:rFonts w:ascii="Times New Roman" w:hAnsi="Times New Roman"/>
          <w:b/>
          <w:bCs/>
          <w:iCs/>
          <w:sz w:val="28"/>
        </w:rPr>
        <w:t xml:space="preserve">Developmental Community Services </w:t>
      </w:r>
      <w:r w:rsidR="00092595" w:rsidRPr="00E26CE7">
        <w:rPr>
          <w:rFonts w:ascii="Times New Roman" w:hAnsi="Times New Roman"/>
          <w:b/>
          <w:bCs/>
          <w:iCs/>
          <w:sz w:val="28"/>
        </w:rPr>
        <w:br/>
      </w:r>
    </w:p>
    <w:p w14:paraId="49C173CD" w14:textId="77777777" w:rsidR="00092595" w:rsidRPr="00E26CE7" w:rsidRDefault="00092595" w:rsidP="00F46923">
      <w:pPr>
        <w:pStyle w:val="NoSpacing"/>
        <w:rPr>
          <w:rFonts w:ascii="Times New Roman" w:hAnsi="Times New Roman"/>
          <w:b/>
          <w:bCs/>
          <w:i/>
          <w:iCs/>
          <w:color w:val="5B9AD5"/>
          <w:sz w:val="26"/>
          <w:szCs w:val="26"/>
        </w:rPr>
      </w:pPr>
      <w:r w:rsidRPr="00E26CE7">
        <w:rPr>
          <w:rFonts w:ascii="Times New Roman" w:hAnsi="Times New Roman"/>
          <w:b/>
          <w:bCs/>
          <w:i/>
          <w:iCs/>
          <w:sz w:val="26"/>
          <w:szCs w:val="26"/>
        </w:rPr>
        <w:t xml:space="preserve">U.S. Department of Justice Settlement Agreement </w:t>
      </w:r>
    </w:p>
    <w:p w14:paraId="1D846EF8" w14:textId="11ACCEC7" w:rsidR="00092595" w:rsidRPr="00B62B54" w:rsidRDefault="00092595" w:rsidP="00F46923">
      <w:r w:rsidRPr="00B62B54">
        <w:t xml:space="preserve">Virginia is in the </w:t>
      </w:r>
      <w:r w:rsidR="001E7C6D">
        <w:t>11</w:t>
      </w:r>
      <w:r w:rsidR="001E7C6D" w:rsidRPr="001E7C6D">
        <w:rPr>
          <w:vertAlign w:val="superscript"/>
        </w:rPr>
        <w:t>th</w:t>
      </w:r>
      <w:r w:rsidR="001E7C6D">
        <w:t xml:space="preserve"> </w:t>
      </w:r>
      <w:r w:rsidRPr="00B62B54">
        <w:t xml:space="preserve">year of </w:t>
      </w:r>
      <w:r w:rsidR="001E7C6D">
        <w:t>a</w:t>
      </w:r>
      <w:r w:rsidRPr="00B62B54">
        <w:t xml:space="preserve"> Settlement Agreement </w:t>
      </w:r>
      <w:r w:rsidR="001E7C6D">
        <w:t xml:space="preserve">with the U.S. Department of Justice </w:t>
      </w:r>
      <w:r w:rsidRPr="00B62B54">
        <w:t xml:space="preserve">to improve and expand services and supports for individuals with developmental disabilities (DD) and to create a comprehensive system of home and community-based services that promotes community integration and quality improvement. </w:t>
      </w:r>
      <w:r>
        <w:t xml:space="preserve">  </w:t>
      </w:r>
      <w:r w:rsidRPr="00B62B54">
        <w:t xml:space="preserve"> </w:t>
      </w:r>
    </w:p>
    <w:p w14:paraId="0DFDAC13" w14:textId="77777777" w:rsidR="001E7C6D" w:rsidRPr="00B62B54" w:rsidRDefault="001E7C6D" w:rsidP="001E7C6D">
      <w:pPr>
        <w:pStyle w:val="ListParagraph"/>
        <w:numPr>
          <w:ilvl w:val="0"/>
          <w:numId w:val="2"/>
        </w:numPr>
        <w:spacing w:after="0" w:line="240" w:lineRule="auto"/>
        <w:ind w:left="547"/>
        <w:rPr>
          <w:rFonts w:ascii="Times New Roman" w:eastAsia="Times New Roman" w:hAnsi="Times New Roman"/>
          <w:sz w:val="24"/>
          <w:szCs w:val="24"/>
        </w:rPr>
      </w:pPr>
      <w:r w:rsidRPr="00B62B54">
        <w:rPr>
          <w:rFonts w:ascii="Times New Roman" w:eastAsia="Times New Roman" w:hAnsi="Times New Roman"/>
          <w:sz w:val="24"/>
          <w:szCs w:val="24"/>
        </w:rPr>
        <w:t xml:space="preserve">On </w:t>
      </w:r>
      <w:r>
        <w:rPr>
          <w:rFonts w:ascii="Times New Roman" w:eastAsia="Times New Roman" w:hAnsi="Times New Roman"/>
          <w:sz w:val="24"/>
          <w:szCs w:val="24"/>
        </w:rPr>
        <w:t>May 23, 2022</w:t>
      </w:r>
      <w:r w:rsidRPr="00B62B54">
        <w:rPr>
          <w:rFonts w:ascii="Times New Roman" w:eastAsia="Times New Roman" w:hAnsi="Times New Roman"/>
          <w:sz w:val="24"/>
          <w:szCs w:val="24"/>
        </w:rPr>
        <w:t xml:space="preserve">, the federal court submitted an order extending the anticipated end of the Consent Decree to </w:t>
      </w:r>
      <w:r>
        <w:rPr>
          <w:rFonts w:ascii="Times New Roman" w:eastAsia="Times New Roman" w:hAnsi="Times New Roman"/>
          <w:sz w:val="24"/>
          <w:szCs w:val="24"/>
        </w:rPr>
        <w:t>December 31, 2023.</w:t>
      </w:r>
      <w:r w:rsidRPr="00B62B54">
        <w:rPr>
          <w:rFonts w:ascii="Times New Roman" w:eastAsia="Times New Roman" w:hAnsi="Times New Roman"/>
          <w:sz w:val="24"/>
          <w:szCs w:val="24"/>
        </w:rPr>
        <w:t xml:space="preserve"> </w:t>
      </w:r>
    </w:p>
    <w:p w14:paraId="7CA1DE5B" w14:textId="14459DB1" w:rsidR="00092595" w:rsidRPr="00F25159" w:rsidRDefault="00092595" w:rsidP="0021779A">
      <w:pPr>
        <w:pStyle w:val="ListParagraph"/>
        <w:numPr>
          <w:ilvl w:val="0"/>
          <w:numId w:val="2"/>
        </w:numPr>
        <w:spacing w:after="0" w:line="240" w:lineRule="auto"/>
        <w:ind w:left="547"/>
        <w:rPr>
          <w:rFonts w:ascii="Times New Roman" w:eastAsia="Times New Roman" w:hAnsi="Times New Roman"/>
          <w:sz w:val="24"/>
          <w:szCs w:val="24"/>
        </w:rPr>
      </w:pPr>
      <w:r w:rsidRPr="00F25159">
        <w:rPr>
          <w:rFonts w:ascii="Times New Roman" w:eastAsia="Times New Roman" w:hAnsi="Times New Roman"/>
          <w:sz w:val="24"/>
          <w:szCs w:val="24"/>
        </w:rPr>
        <w:t xml:space="preserve">The results of the Independent Reviewer (IR) June 2022 report highlighted </w:t>
      </w:r>
      <w:r w:rsidRPr="007C2DB5">
        <w:rPr>
          <w:rFonts w:ascii="Times New Roman" w:eastAsia="Times New Roman" w:hAnsi="Times New Roman"/>
          <w:sz w:val="24"/>
          <w:szCs w:val="24"/>
        </w:rPr>
        <w:t>155 of 317 total compliance indicators reviewed during 20th review period</w:t>
      </w:r>
      <w:r w:rsidRPr="00F25159">
        <w:rPr>
          <w:rFonts w:ascii="Times New Roman" w:eastAsia="Times New Roman" w:hAnsi="Times New Roman"/>
          <w:sz w:val="24"/>
          <w:szCs w:val="24"/>
        </w:rPr>
        <w:t xml:space="preserve"> for a total of 183 compliance </w:t>
      </w:r>
      <w:r w:rsidRPr="00F25159">
        <w:rPr>
          <w:rFonts w:ascii="Times New Roman" w:eastAsia="Times New Roman" w:hAnsi="Times New Roman"/>
          <w:sz w:val="24"/>
          <w:szCs w:val="24"/>
        </w:rPr>
        <w:lastRenderedPageBreak/>
        <w:t>indicators met or 58</w:t>
      </w:r>
      <w:r w:rsidR="001E7C6D">
        <w:rPr>
          <w:rFonts w:ascii="Times New Roman" w:eastAsia="Times New Roman" w:hAnsi="Times New Roman"/>
          <w:sz w:val="24"/>
          <w:szCs w:val="24"/>
        </w:rPr>
        <w:t xml:space="preserve"> percent</w:t>
      </w:r>
      <w:r w:rsidRPr="00F25159">
        <w:rPr>
          <w:rFonts w:ascii="Times New Roman" w:eastAsia="Times New Roman" w:hAnsi="Times New Roman"/>
          <w:sz w:val="24"/>
          <w:szCs w:val="24"/>
        </w:rPr>
        <w:t>.  Of these</w:t>
      </w:r>
      <w:r w:rsidR="001E7C6D">
        <w:rPr>
          <w:rFonts w:ascii="Times New Roman" w:eastAsia="Times New Roman" w:hAnsi="Times New Roman"/>
          <w:sz w:val="24"/>
          <w:szCs w:val="24"/>
        </w:rPr>
        <w:t>,</w:t>
      </w:r>
      <w:r w:rsidRPr="00F25159">
        <w:rPr>
          <w:rFonts w:ascii="Times New Roman" w:eastAsia="Times New Roman" w:hAnsi="Times New Roman"/>
          <w:sz w:val="24"/>
          <w:szCs w:val="24"/>
        </w:rPr>
        <w:t xml:space="preserve"> 100 are in sustained compliance or have been met during two consecutive review periods.</w:t>
      </w:r>
    </w:p>
    <w:p w14:paraId="65A004E9" w14:textId="5D5150CA" w:rsidR="00092595" w:rsidRDefault="001E7C6D" w:rsidP="0021779A">
      <w:pPr>
        <w:pStyle w:val="ListParagraph"/>
        <w:numPr>
          <w:ilvl w:val="0"/>
          <w:numId w:val="2"/>
        </w:numPr>
        <w:spacing w:after="0" w:line="240" w:lineRule="auto"/>
        <w:ind w:left="547"/>
        <w:rPr>
          <w:rFonts w:ascii="Times New Roman" w:eastAsia="Times New Roman" w:hAnsi="Times New Roman"/>
          <w:sz w:val="24"/>
          <w:szCs w:val="24"/>
        </w:rPr>
      </w:pPr>
      <w:r>
        <w:rPr>
          <w:rFonts w:ascii="Times New Roman" w:eastAsia="Times New Roman" w:hAnsi="Times New Roman"/>
          <w:sz w:val="24"/>
          <w:szCs w:val="24"/>
        </w:rPr>
        <w:t>Virginia</w:t>
      </w:r>
      <w:r w:rsidR="00092595">
        <w:rPr>
          <w:rFonts w:ascii="Times New Roman" w:eastAsia="Times New Roman" w:hAnsi="Times New Roman"/>
          <w:sz w:val="24"/>
          <w:szCs w:val="24"/>
        </w:rPr>
        <w:t xml:space="preserve"> was relieved of 34 provisions in Section IV (Discharge Planning and Transition from Training Centers) and VI.D.  In addition</w:t>
      </w:r>
      <w:r>
        <w:rPr>
          <w:rFonts w:ascii="Times New Roman" w:eastAsia="Times New Roman" w:hAnsi="Times New Roman"/>
          <w:sz w:val="24"/>
          <w:szCs w:val="24"/>
        </w:rPr>
        <w:t>,</w:t>
      </w:r>
      <w:r w:rsidR="00092595">
        <w:rPr>
          <w:rFonts w:ascii="Times New Roman" w:eastAsia="Times New Roman" w:hAnsi="Times New Roman"/>
          <w:sz w:val="24"/>
          <w:szCs w:val="24"/>
        </w:rPr>
        <w:t xml:space="preserve"> the Commonwealth is in sustained compliance with an additional 45 provisions</w:t>
      </w:r>
      <w:r>
        <w:rPr>
          <w:rFonts w:ascii="Times New Roman" w:eastAsia="Times New Roman" w:hAnsi="Times New Roman"/>
          <w:sz w:val="24"/>
          <w:szCs w:val="24"/>
        </w:rPr>
        <w:t>:</w:t>
      </w:r>
      <w:r w:rsidR="00092595">
        <w:rPr>
          <w:rFonts w:ascii="Times New Roman" w:eastAsia="Times New Roman" w:hAnsi="Times New Roman"/>
          <w:sz w:val="24"/>
          <w:szCs w:val="24"/>
        </w:rPr>
        <w:t xml:space="preserve"> 35 in Section III (Serving Individuals in the Most Integrated Settings) and 10 in Section V (Quality and Risk Management System).  This puts the Commonwealth in sustained compliance with 79 of the 122 provisions in the Settlement Agreement or 65</w:t>
      </w:r>
      <w:r>
        <w:rPr>
          <w:rFonts w:ascii="Times New Roman" w:eastAsia="Times New Roman" w:hAnsi="Times New Roman"/>
          <w:sz w:val="24"/>
          <w:szCs w:val="24"/>
        </w:rPr>
        <w:t xml:space="preserve"> percent as of the end of FY 2022</w:t>
      </w:r>
      <w:r w:rsidR="00092595">
        <w:rPr>
          <w:rFonts w:ascii="Times New Roman" w:eastAsia="Times New Roman" w:hAnsi="Times New Roman"/>
          <w:sz w:val="24"/>
          <w:szCs w:val="24"/>
        </w:rPr>
        <w:t>.</w:t>
      </w:r>
    </w:p>
    <w:p w14:paraId="46E94A64" w14:textId="4839E347" w:rsidR="00092595" w:rsidRPr="00B62B54" w:rsidRDefault="00092595" w:rsidP="0021779A">
      <w:pPr>
        <w:pStyle w:val="ListParagraph"/>
        <w:numPr>
          <w:ilvl w:val="0"/>
          <w:numId w:val="2"/>
        </w:numPr>
        <w:spacing w:after="0" w:line="240" w:lineRule="auto"/>
        <w:ind w:left="547"/>
        <w:rPr>
          <w:rFonts w:ascii="Times New Roman" w:eastAsia="Times New Roman" w:hAnsi="Times New Roman"/>
          <w:sz w:val="24"/>
          <w:szCs w:val="24"/>
        </w:rPr>
      </w:pPr>
      <w:r>
        <w:rPr>
          <w:rFonts w:ascii="Times New Roman" w:eastAsia="Times New Roman" w:hAnsi="Times New Roman"/>
          <w:sz w:val="24"/>
          <w:szCs w:val="24"/>
        </w:rPr>
        <w:t xml:space="preserve">Additionally, there are 20 provisions where </w:t>
      </w:r>
      <w:r w:rsidR="001E7C6D">
        <w:rPr>
          <w:rFonts w:ascii="Times New Roman" w:eastAsia="Times New Roman" w:hAnsi="Times New Roman"/>
          <w:sz w:val="24"/>
          <w:szCs w:val="24"/>
        </w:rPr>
        <w:t>Virginia</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is in compliance with</w:t>
      </w:r>
      <w:proofErr w:type="gramEnd"/>
      <w:r>
        <w:rPr>
          <w:rFonts w:ascii="Times New Roman" w:eastAsia="Times New Roman" w:hAnsi="Times New Roman"/>
          <w:sz w:val="24"/>
          <w:szCs w:val="24"/>
        </w:rPr>
        <w:t xml:space="preserve"> 60</w:t>
      </w:r>
      <w:r w:rsidR="001E7C6D">
        <w:rPr>
          <w:rFonts w:ascii="Times New Roman" w:eastAsia="Times New Roman" w:hAnsi="Times New Roman"/>
          <w:sz w:val="24"/>
          <w:szCs w:val="24"/>
        </w:rPr>
        <w:t xml:space="preserve"> percent</w:t>
      </w:r>
      <w:r>
        <w:rPr>
          <w:rFonts w:ascii="Times New Roman" w:eastAsia="Times New Roman" w:hAnsi="Times New Roman"/>
          <w:sz w:val="24"/>
          <w:szCs w:val="24"/>
        </w:rPr>
        <w:t xml:space="preserve"> or more of the indicators tied to those provisions. This compliance is dependent on asserting the reliability and validity of the data.</w:t>
      </w:r>
    </w:p>
    <w:p w14:paraId="5F4F167B" w14:textId="6FD0F30E" w:rsidR="00092595" w:rsidRPr="00B62B54" w:rsidRDefault="00092595" w:rsidP="00F46923">
      <w:pPr>
        <w:pStyle w:val="NoSpacing"/>
        <w:rPr>
          <w:rFonts w:ascii="Times New Roman" w:hAnsi="Times New Roman"/>
          <w:sz w:val="24"/>
          <w:szCs w:val="24"/>
        </w:rPr>
      </w:pPr>
      <w:r w:rsidRPr="00B62B54">
        <w:rPr>
          <w:rFonts w:ascii="Times New Roman" w:hAnsi="Times New Roman"/>
          <w:b/>
          <w:bCs/>
          <w:i/>
          <w:iCs/>
          <w:color w:val="5B9AD5"/>
          <w:sz w:val="24"/>
          <w:szCs w:val="24"/>
        </w:rPr>
        <w:br/>
      </w:r>
      <w:r w:rsidRPr="00E26CE7">
        <w:rPr>
          <w:rFonts w:ascii="Times New Roman" w:hAnsi="Times New Roman"/>
          <w:b/>
          <w:bCs/>
          <w:i/>
          <w:iCs/>
          <w:sz w:val="26"/>
          <w:szCs w:val="26"/>
        </w:rPr>
        <w:t>Integrated Day/Supported Employment Services</w:t>
      </w:r>
      <w:r w:rsidRPr="00B62B54">
        <w:rPr>
          <w:rFonts w:ascii="Times New Roman" w:hAnsi="Times New Roman"/>
          <w:sz w:val="24"/>
          <w:szCs w:val="24"/>
        </w:rPr>
        <w:br/>
      </w:r>
      <w:r w:rsidR="00DE6314">
        <w:rPr>
          <w:rFonts w:ascii="Times New Roman" w:hAnsi="Times New Roman"/>
          <w:sz w:val="24"/>
          <w:szCs w:val="24"/>
        </w:rPr>
        <w:t>Virginia</w:t>
      </w:r>
      <w:r w:rsidRPr="00B62B54">
        <w:rPr>
          <w:rFonts w:ascii="Times New Roman" w:hAnsi="Times New Roman"/>
          <w:sz w:val="24"/>
          <w:szCs w:val="24"/>
        </w:rPr>
        <w:t xml:space="preserve"> as an </w:t>
      </w:r>
      <w:r w:rsidR="00DE6314">
        <w:rPr>
          <w:rFonts w:ascii="Times New Roman" w:hAnsi="Times New Roman"/>
          <w:sz w:val="24"/>
          <w:szCs w:val="24"/>
        </w:rPr>
        <w:t>“</w:t>
      </w:r>
      <w:r w:rsidRPr="00B62B54">
        <w:rPr>
          <w:rFonts w:ascii="Times New Roman" w:hAnsi="Times New Roman"/>
          <w:sz w:val="24"/>
          <w:szCs w:val="24"/>
        </w:rPr>
        <w:t>Employment First</w:t>
      </w:r>
      <w:r w:rsidR="00DE6314">
        <w:rPr>
          <w:rFonts w:ascii="Times New Roman" w:hAnsi="Times New Roman"/>
          <w:sz w:val="24"/>
          <w:szCs w:val="24"/>
        </w:rPr>
        <w:t>”</w:t>
      </w:r>
      <w:r w:rsidRPr="00B62B54">
        <w:rPr>
          <w:rFonts w:ascii="Times New Roman" w:hAnsi="Times New Roman"/>
          <w:sz w:val="24"/>
          <w:szCs w:val="24"/>
        </w:rPr>
        <w:t xml:space="preserve"> state continues to promote the value of employment for all persons with disabilities. Achieving compliance with the Settlement Agreement will require continued expansion of q</w:t>
      </w:r>
      <w:r>
        <w:rPr>
          <w:rFonts w:ascii="Times New Roman" w:hAnsi="Times New Roman"/>
          <w:sz w:val="24"/>
          <w:szCs w:val="24"/>
        </w:rPr>
        <w:t xml:space="preserve">ualified providers to offer </w:t>
      </w:r>
      <w:r w:rsidRPr="00B62B54">
        <w:rPr>
          <w:rFonts w:ascii="Times New Roman" w:hAnsi="Times New Roman"/>
          <w:sz w:val="24"/>
          <w:szCs w:val="24"/>
        </w:rPr>
        <w:t xml:space="preserve">new integrated </w:t>
      </w:r>
      <w:r>
        <w:rPr>
          <w:rFonts w:ascii="Times New Roman" w:hAnsi="Times New Roman"/>
          <w:sz w:val="24"/>
          <w:szCs w:val="24"/>
        </w:rPr>
        <w:t>day services</w:t>
      </w:r>
      <w:r w:rsidRPr="00B62B54">
        <w:rPr>
          <w:rFonts w:ascii="Times New Roman" w:hAnsi="Times New Roman"/>
          <w:sz w:val="24"/>
          <w:szCs w:val="24"/>
        </w:rPr>
        <w:t>.</w:t>
      </w:r>
    </w:p>
    <w:p w14:paraId="781E611E" w14:textId="77777777" w:rsidR="00092595" w:rsidRPr="00B62B54" w:rsidRDefault="00092595" w:rsidP="009054AA">
      <w:pPr>
        <w:pStyle w:val="NoSpacing"/>
        <w:numPr>
          <w:ilvl w:val="0"/>
          <w:numId w:val="15"/>
        </w:numPr>
        <w:ind w:left="547"/>
        <w:rPr>
          <w:rFonts w:ascii="Times New Roman" w:hAnsi="Times New Roman"/>
          <w:sz w:val="24"/>
          <w:szCs w:val="24"/>
        </w:rPr>
      </w:pPr>
      <w:r w:rsidRPr="00B62B54">
        <w:rPr>
          <w:rFonts w:ascii="Times New Roman" w:hAnsi="Times New Roman"/>
          <w:sz w:val="24"/>
          <w:szCs w:val="24"/>
        </w:rPr>
        <w:t>Published two semi-annual reports on employment with 100 percent participation from employment service organizations.</w:t>
      </w:r>
    </w:p>
    <w:p w14:paraId="4080C671" w14:textId="55D9CEDF" w:rsidR="00092595" w:rsidRPr="00B62B54" w:rsidRDefault="00092595" w:rsidP="009054AA">
      <w:pPr>
        <w:pStyle w:val="NoSpacing"/>
        <w:numPr>
          <w:ilvl w:val="0"/>
          <w:numId w:val="15"/>
        </w:numPr>
        <w:ind w:left="547"/>
        <w:rPr>
          <w:rFonts w:ascii="Times New Roman" w:hAnsi="Times New Roman"/>
          <w:sz w:val="24"/>
          <w:szCs w:val="24"/>
        </w:rPr>
      </w:pPr>
      <w:r w:rsidRPr="00B62B54">
        <w:rPr>
          <w:rFonts w:ascii="Times New Roman" w:hAnsi="Times New Roman"/>
          <w:sz w:val="24"/>
          <w:szCs w:val="24"/>
        </w:rPr>
        <w:t>The pandemic had a significant impact on individuals working in the community</w:t>
      </w:r>
      <w:r w:rsidR="00DE6314">
        <w:rPr>
          <w:rFonts w:ascii="Times New Roman" w:hAnsi="Times New Roman"/>
          <w:sz w:val="24"/>
          <w:szCs w:val="24"/>
        </w:rPr>
        <w:t>;</w:t>
      </w:r>
      <w:r w:rsidRPr="00B62B54">
        <w:rPr>
          <w:rFonts w:ascii="Times New Roman" w:hAnsi="Times New Roman"/>
          <w:sz w:val="24"/>
          <w:szCs w:val="24"/>
        </w:rPr>
        <w:t xml:space="preserve"> however, </w:t>
      </w:r>
      <w:r>
        <w:rPr>
          <w:rFonts w:ascii="Times New Roman" w:hAnsi="Times New Roman"/>
          <w:sz w:val="24"/>
          <w:szCs w:val="24"/>
        </w:rPr>
        <w:t>the data is starting to rebound</w:t>
      </w:r>
      <w:r w:rsidR="00DE6314">
        <w:rPr>
          <w:rFonts w:ascii="Times New Roman" w:hAnsi="Times New Roman"/>
          <w:sz w:val="24"/>
          <w:szCs w:val="24"/>
        </w:rPr>
        <w:t xml:space="preserve">. The </w:t>
      </w:r>
      <w:r>
        <w:rPr>
          <w:rFonts w:ascii="Times New Roman" w:hAnsi="Times New Roman"/>
          <w:sz w:val="24"/>
          <w:szCs w:val="24"/>
        </w:rPr>
        <w:t>percent of individuals being employed increas</w:t>
      </w:r>
      <w:r w:rsidR="00DE6314">
        <w:rPr>
          <w:rFonts w:ascii="Times New Roman" w:hAnsi="Times New Roman"/>
          <w:sz w:val="24"/>
          <w:szCs w:val="24"/>
        </w:rPr>
        <w:t>ed</w:t>
      </w:r>
      <w:r>
        <w:rPr>
          <w:rFonts w:ascii="Times New Roman" w:hAnsi="Times New Roman"/>
          <w:sz w:val="24"/>
          <w:szCs w:val="24"/>
        </w:rPr>
        <w:t xml:space="preserve"> from a low of 17</w:t>
      </w:r>
      <w:r w:rsidR="00DE6314">
        <w:rPr>
          <w:rFonts w:ascii="Times New Roman" w:hAnsi="Times New Roman"/>
          <w:sz w:val="24"/>
          <w:szCs w:val="24"/>
        </w:rPr>
        <w:t xml:space="preserve"> percent</w:t>
      </w:r>
      <w:r>
        <w:rPr>
          <w:rFonts w:ascii="Times New Roman" w:hAnsi="Times New Roman"/>
          <w:sz w:val="24"/>
          <w:szCs w:val="24"/>
        </w:rPr>
        <w:t xml:space="preserve"> up to 20</w:t>
      </w:r>
      <w:r w:rsidR="00DE6314">
        <w:rPr>
          <w:rFonts w:ascii="Times New Roman" w:hAnsi="Times New Roman"/>
          <w:sz w:val="24"/>
          <w:szCs w:val="24"/>
        </w:rPr>
        <w:t xml:space="preserve"> percent in FY 2022</w:t>
      </w:r>
      <w:r w:rsidRPr="00B62B54">
        <w:rPr>
          <w:rFonts w:ascii="Times New Roman" w:hAnsi="Times New Roman"/>
          <w:sz w:val="24"/>
          <w:szCs w:val="24"/>
        </w:rPr>
        <w:t>.</w:t>
      </w:r>
    </w:p>
    <w:p w14:paraId="2749B159" w14:textId="77777777" w:rsidR="00092595" w:rsidRPr="00B62B54" w:rsidRDefault="00092595" w:rsidP="00F46923">
      <w:pPr>
        <w:autoSpaceDE w:val="0"/>
        <w:autoSpaceDN w:val="0"/>
        <w:ind w:left="547" w:hanging="360"/>
      </w:pPr>
    </w:p>
    <w:p w14:paraId="51256412" w14:textId="77777777" w:rsidR="00092595" w:rsidRPr="00E26CE7" w:rsidRDefault="00092595" w:rsidP="00F46923">
      <w:pPr>
        <w:autoSpaceDE w:val="0"/>
        <w:autoSpaceDN w:val="0"/>
        <w:rPr>
          <w:b/>
          <w:bCs/>
          <w:i/>
          <w:iCs/>
          <w:sz w:val="26"/>
          <w:szCs w:val="26"/>
        </w:rPr>
      </w:pPr>
      <w:r w:rsidRPr="00E26CE7">
        <w:rPr>
          <w:b/>
          <w:bCs/>
          <w:i/>
          <w:iCs/>
          <w:sz w:val="26"/>
          <w:szCs w:val="26"/>
        </w:rPr>
        <w:t>Medicaid Waiver Services for Individuals with Developmental Disabilities (DD)</w:t>
      </w:r>
    </w:p>
    <w:p w14:paraId="227CDDFC" w14:textId="22D071C6" w:rsidR="00092595" w:rsidRPr="00B62B54" w:rsidRDefault="00092595" w:rsidP="00F46923">
      <w:pPr>
        <w:autoSpaceDE w:val="0"/>
        <w:autoSpaceDN w:val="0"/>
      </w:pPr>
      <w:r w:rsidRPr="00B62B54">
        <w:t>The Medicaid Home and Community-Based Services (HCBS) waivers prescribe</w:t>
      </w:r>
      <w:r w:rsidR="00DE6314" w:rsidRPr="00DE6314">
        <w:t xml:space="preserve"> </w:t>
      </w:r>
      <w:r w:rsidR="00DE6314" w:rsidRPr="00B62B54">
        <w:t>the types of services Virginia may offer</w:t>
      </w:r>
      <w:r w:rsidRPr="00B62B54">
        <w:t xml:space="preserve"> based on Virginia’s approved applications to the U</w:t>
      </w:r>
      <w:r w:rsidR="00DE6314">
        <w:t>.</w:t>
      </w:r>
      <w:r w:rsidRPr="00B62B54">
        <w:t>S</w:t>
      </w:r>
      <w:r w:rsidR="00DE6314">
        <w:t>.</w:t>
      </w:r>
      <w:r w:rsidRPr="00B62B54">
        <w:t xml:space="preserve"> Centers for Medicare </w:t>
      </w:r>
      <w:r w:rsidR="00DE6314">
        <w:t xml:space="preserve">&amp; Medicaid </w:t>
      </w:r>
      <w:r w:rsidRPr="00B62B54">
        <w:t xml:space="preserve">Services (CMS). HCBS waivers provide the funding for </w:t>
      </w:r>
      <w:proofErr w:type="gramStart"/>
      <w:r w:rsidRPr="00B62B54">
        <w:t>the vast majority of</w:t>
      </w:r>
      <w:proofErr w:type="gramEnd"/>
      <w:r w:rsidRPr="00B62B54">
        <w:t xml:space="preserve"> children and adults receiving services through a combination of state and federal funding.  </w:t>
      </w:r>
    </w:p>
    <w:p w14:paraId="2B5CBF0D" w14:textId="7678F5C5" w:rsidR="00092595" w:rsidRPr="00E56E46" w:rsidRDefault="00092595" w:rsidP="0021779A">
      <w:pPr>
        <w:pStyle w:val="ListParagraph"/>
        <w:numPr>
          <w:ilvl w:val="0"/>
          <w:numId w:val="4"/>
        </w:numPr>
        <w:autoSpaceDE w:val="0"/>
        <w:autoSpaceDN w:val="0"/>
        <w:spacing w:after="0" w:line="240" w:lineRule="auto"/>
        <w:ind w:left="547"/>
        <w:rPr>
          <w:rFonts w:ascii="Times New Roman" w:eastAsia="Times New Roman" w:hAnsi="Times New Roman"/>
          <w:color w:val="000000" w:themeColor="text1"/>
          <w:sz w:val="24"/>
          <w:szCs w:val="24"/>
        </w:rPr>
      </w:pPr>
      <w:r w:rsidRPr="00B62B54">
        <w:rPr>
          <w:rFonts w:ascii="Times New Roman" w:hAnsi="Times New Roman"/>
          <w:bCs/>
          <w:iCs/>
          <w:sz w:val="24"/>
          <w:szCs w:val="24"/>
        </w:rPr>
        <w:t xml:space="preserve">Waiver Services and Waitlist – </w:t>
      </w:r>
      <w:r w:rsidRPr="00B62B54">
        <w:rPr>
          <w:rFonts w:ascii="Times New Roman" w:eastAsia="Times New Roman" w:hAnsi="Times New Roman"/>
          <w:sz w:val="24"/>
          <w:szCs w:val="24"/>
        </w:rPr>
        <w:t xml:space="preserve">As </w:t>
      </w:r>
      <w:r w:rsidRPr="00E56E46">
        <w:rPr>
          <w:rFonts w:ascii="Times New Roman" w:eastAsia="Times New Roman" w:hAnsi="Times New Roman"/>
          <w:sz w:val="24"/>
          <w:szCs w:val="24"/>
        </w:rPr>
        <w:t>of August 1, 2022, there were 16,507 individuals on assigned a waiver</w:t>
      </w:r>
      <w:r w:rsidR="00DE6314" w:rsidRPr="00E56E46">
        <w:rPr>
          <w:rFonts w:ascii="Times New Roman" w:eastAsia="Times New Roman" w:hAnsi="Times New Roman"/>
          <w:sz w:val="24"/>
          <w:szCs w:val="24"/>
        </w:rPr>
        <w:t xml:space="preserve"> slot</w:t>
      </w:r>
      <w:r w:rsidRPr="00E56E46">
        <w:rPr>
          <w:rFonts w:ascii="Times New Roman" w:eastAsia="Times New Roman" w:hAnsi="Times New Roman"/>
          <w:sz w:val="24"/>
          <w:szCs w:val="24"/>
        </w:rPr>
        <w:t xml:space="preserve">. The total wait list was 13,943 and included: </w:t>
      </w:r>
    </w:p>
    <w:p w14:paraId="201A1989" w14:textId="77777777" w:rsidR="00092595" w:rsidRPr="00B62B54" w:rsidRDefault="00092595" w:rsidP="0021779A">
      <w:pPr>
        <w:pStyle w:val="ListParagraph"/>
        <w:numPr>
          <w:ilvl w:val="1"/>
          <w:numId w:val="5"/>
        </w:numPr>
        <w:autoSpaceDE w:val="0"/>
        <w:autoSpaceDN w:val="0"/>
        <w:spacing w:after="0" w:line="240" w:lineRule="auto"/>
        <w:ind w:left="1080"/>
        <w:rPr>
          <w:rFonts w:ascii="Times New Roman" w:eastAsia="Times New Roman" w:hAnsi="Times New Roman"/>
          <w:color w:val="000000" w:themeColor="text1"/>
          <w:sz w:val="24"/>
          <w:szCs w:val="24"/>
        </w:rPr>
      </w:pPr>
      <w:r w:rsidRPr="00B62B54">
        <w:rPr>
          <w:rFonts w:ascii="Times New Roman" w:eastAsia="Times New Roman" w:hAnsi="Times New Roman"/>
          <w:sz w:val="24"/>
          <w:szCs w:val="24"/>
        </w:rPr>
        <w:t xml:space="preserve">Priority One (services needed within one year): </w:t>
      </w:r>
      <w:proofErr w:type="gramStart"/>
      <w:r w:rsidRPr="00B62B54">
        <w:rPr>
          <w:rFonts w:ascii="Times New Roman" w:eastAsia="Times New Roman" w:hAnsi="Times New Roman"/>
          <w:sz w:val="24"/>
          <w:szCs w:val="24"/>
        </w:rPr>
        <w:t>3,</w:t>
      </w:r>
      <w:r>
        <w:rPr>
          <w:rFonts w:ascii="Times New Roman" w:eastAsia="Times New Roman" w:hAnsi="Times New Roman"/>
          <w:sz w:val="24"/>
          <w:szCs w:val="24"/>
        </w:rPr>
        <w:t>074</w:t>
      </w:r>
      <w:r w:rsidRPr="00B62B54">
        <w:rPr>
          <w:rFonts w:ascii="Times New Roman" w:eastAsia="Times New Roman" w:hAnsi="Times New Roman"/>
          <w:sz w:val="24"/>
          <w:szCs w:val="24"/>
        </w:rPr>
        <w:t>;</w:t>
      </w:r>
      <w:proofErr w:type="gramEnd"/>
    </w:p>
    <w:p w14:paraId="24525F02" w14:textId="77777777" w:rsidR="00092595" w:rsidRPr="00B62B54" w:rsidRDefault="00092595" w:rsidP="0021779A">
      <w:pPr>
        <w:pStyle w:val="ListParagraph"/>
        <w:numPr>
          <w:ilvl w:val="1"/>
          <w:numId w:val="5"/>
        </w:numPr>
        <w:autoSpaceDE w:val="0"/>
        <w:autoSpaceDN w:val="0"/>
        <w:spacing w:after="0" w:line="240" w:lineRule="auto"/>
        <w:ind w:left="1080"/>
        <w:rPr>
          <w:rFonts w:ascii="Times New Roman" w:eastAsia="Times New Roman" w:hAnsi="Times New Roman"/>
          <w:color w:val="000000" w:themeColor="text1"/>
          <w:sz w:val="24"/>
          <w:szCs w:val="24"/>
        </w:rPr>
      </w:pPr>
      <w:r w:rsidRPr="00B62B54">
        <w:rPr>
          <w:rFonts w:ascii="Times New Roman" w:eastAsia="Times New Roman" w:hAnsi="Times New Roman"/>
          <w:sz w:val="24"/>
          <w:szCs w:val="24"/>
        </w:rPr>
        <w:t xml:space="preserve">Priority Two (services needed in 1-5 years): </w:t>
      </w:r>
      <w:r>
        <w:rPr>
          <w:rFonts w:ascii="Times New Roman" w:eastAsia="Times New Roman" w:hAnsi="Times New Roman"/>
          <w:sz w:val="24"/>
          <w:szCs w:val="24"/>
        </w:rPr>
        <w:t>5,995</w:t>
      </w:r>
      <w:r w:rsidRPr="00B62B54">
        <w:rPr>
          <w:rFonts w:ascii="Times New Roman" w:eastAsia="Times New Roman" w:hAnsi="Times New Roman"/>
          <w:sz w:val="24"/>
          <w:szCs w:val="24"/>
        </w:rPr>
        <w:t xml:space="preserve">; and </w:t>
      </w:r>
    </w:p>
    <w:p w14:paraId="07139916" w14:textId="77777777" w:rsidR="00092595" w:rsidRPr="00B62B54" w:rsidRDefault="00092595" w:rsidP="0021779A">
      <w:pPr>
        <w:pStyle w:val="ListParagraph"/>
        <w:numPr>
          <w:ilvl w:val="1"/>
          <w:numId w:val="5"/>
        </w:numPr>
        <w:autoSpaceDE w:val="0"/>
        <w:autoSpaceDN w:val="0"/>
        <w:spacing w:after="0" w:line="240" w:lineRule="auto"/>
        <w:ind w:left="1080"/>
        <w:rPr>
          <w:rFonts w:ascii="Times New Roman" w:eastAsia="Times New Roman" w:hAnsi="Times New Roman"/>
          <w:color w:val="000000" w:themeColor="text1"/>
          <w:sz w:val="24"/>
          <w:szCs w:val="24"/>
        </w:rPr>
      </w:pPr>
      <w:r w:rsidRPr="00B62B54">
        <w:rPr>
          <w:rFonts w:ascii="Times New Roman" w:eastAsia="Times New Roman" w:hAnsi="Times New Roman"/>
          <w:sz w:val="24"/>
          <w:szCs w:val="24"/>
        </w:rPr>
        <w:t xml:space="preserve">Priority Three (services needed in 5+ years): </w:t>
      </w:r>
      <w:r>
        <w:rPr>
          <w:rFonts w:ascii="Times New Roman" w:eastAsia="Times New Roman" w:hAnsi="Times New Roman"/>
          <w:sz w:val="24"/>
          <w:szCs w:val="24"/>
        </w:rPr>
        <w:t>4,874</w:t>
      </w:r>
    </w:p>
    <w:p w14:paraId="15E48DCD" w14:textId="59042A91" w:rsidR="00092595" w:rsidRPr="00B62B54" w:rsidRDefault="00092595" w:rsidP="009054AA">
      <w:pPr>
        <w:pStyle w:val="ListParagraph"/>
        <w:numPr>
          <w:ilvl w:val="0"/>
          <w:numId w:val="13"/>
        </w:numPr>
        <w:autoSpaceDE w:val="0"/>
        <w:autoSpaceDN w:val="0"/>
        <w:spacing w:after="0" w:line="240" w:lineRule="auto"/>
        <w:ind w:left="547"/>
        <w:rPr>
          <w:rFonts w:ascii="Times New Roman" w:hAnsi="Times New Roman"/>
          <w:color w:val="000000" w:themeColor="text1"/>
          <w:sz w:val="24"/>
          <w:szCs w:val="24"/>
        </w:rPr>
      </w:pPr>
      <w:r w:rsidRPr="00B62B54">
        <w:rPr>
          <w:rFonts w:ascii="Times New Roman" w:hAnsi="Times New Roman"/>
          <w:color w:val="0E101A"/>
          <w:sz w:val="24"/>
          <w:szCs w:val="24"/>
        </w:rPr>
        <w:t>Virginia’s HCBS Waivers (DD Waivers) are also subject to the 2014 HCBS Settings Regulation (Final Rule). The HCBS Final Rule prescribes specific characteristics that must be present in settings where waiver services are provided</w:t>
      </w:r>
      <w:r>
        <w:rPr>
          <w:rFonts w:ascii="Times New Roman" w:hAnsi="Times New Roman"/>
          <w:color w:val="0E101A"/>
          <w:sz w:val="24"/>
          <w:szCs w:val="24"/>
        </w:rPr>
        <w:t xml:space="preserve"> to </w:t>
      </w:r>
      <w:r w:rsidRPr="00B62B54">
        <w:rPr>
          <w:rFonts w:ascii="Times New Roman" w:hAnsi="Times New Roman"/>
          <w:color w:val="0E101A"/>
          <w:sz w:val="24"/>
          <w:szCs w:val="24"/>
        </w:rPr>
        <w:t xml:space="preserve">demonstrate a home and community-based experience versus an institutional one. HCBS settings nationwide are required to demonstrate compliance with the rule by March 17, </w:t>
      </w:r>
      <w:proofErr w:type="gramStart"/>
      <w:r w:rsidRPr="00B62B54">
        <w:rPr>
          <w:rFonts w:ascii="Times New Roman" w:hAnsi="Times New Roman"/>
          <w:color w:val="0E101A"/>
          <w:sz w:val="24"/>
          <w:szCs w:val="24"/>
        </w:rPr>
        <w:t>2023</w:t>
      </w:r>
      <w:proofErr w:type="gramEnd"/>
      <w:r w:rsidRPr="00B62B54">
        <w:rPr>
          <w:rFonts w:ascii="Times New Roman" w:hAnsi="Times New Roman"/>
          <w:color w:val="0E101A"/>
          <w:sz w:val="24"/>
          <w:szCs w:val="24"/>
        </w:rPr>
        <w:t xml:space="preserve"> to continue particip</w:t>
      </w:r>
      <w:r>
        <w:rPr>
          <w:rFonts w:ascii="Times New Roman" w:hAnsi="Times New Roman"/>
          <w:color w:val="0E101A"/>
          <w:sz w:val="24"/>
          <w:szCs w:val="24"/>
        </w:rPr>
        <w:t>ating in the Medicaid w</w:t>
      </w:r>
      <w:r w:rsidRPr="00B62B54">
        <w:rPr>
          <w:rFonts w:ascii="Times New Roman" w:hAnsi="Times New Roman"/>
          <w:color w:val="0E101A"/>
          <w:sz w:val="24"/>
          <w:szCs w:val="24"/>
        </w:rPr>
        <w:t xml:space="preserve">aivers program. There are approximately 4,000 </w:t>
      </w:r>
      <w:r>
        <w:rPr>
          <w:rFonts w:ascii="Times New Roman" w:hAnsi="Times New Roman"/>
          <w:color w:val="0E101A"/>
          <w:sz w:val="24"/>
          <w:szCs w:val="24"/>
        </w:rPr>
        <w:t xml:space="preserve">of these </w:t>
      </w:r>
      <w:r w:rsidRPr="00B62B54">
        <w:rPr>
          <w:rFonts w:ascii="Times New Roman" w:hAnsi="Times New Roman"/>
          <w:color w:val="0E101A"/>
          <w:sz w:val="24"/>
          <w:szCs w:val="24"/>
        </w:rPr>
        <w:t xml:space="preserve">settings serving children and adults </w:t>
      </w:r>
      <w:r>
        <w:rPr>
          <w:rFonts w:ascii="Times New Roman" w:hAnsi="Times New Roman"/>
          <w:color w:val="0E101A"/>
          <w:sz w:val="24"/>
          <w:szCs w:val="24"/>
        </w:rPr>
        <w:t>in Virginia. Each group home, group day, sponsored residential, supported living, and group-supported e</w:t>
      </w:r>
      <w:r w:rsidRPr="00B62B54">
        <w:rPr>
          <w:rFonts w:ascii="Times New Roman" w:hAnsi="Times New Roman"/>
          <w:color w:val="0E101A"/>
          <w:sz w:val="24"/>
          <w:szCs w:val="24"/>
        </w:rPr>
        <w:t xml:space="preserve">mployment setting must be assessed for compliance with the requirements. </w:t>
      </w:r>
      <w:r>
        <w:rPr>
          <w:rFonts w:ascii="Times New Roman" w:hAnsi="Times New Roman"/>
          <w:color w:val="0E101A"/>
          <w:sz w:val="24"/>
          <w:szCs w:val="24"/>
        </w:rPr>
        <w:t>As of</w:t>
      </w:r>
      <w:r w:rsidRPr="00B62B54">
        <w:rPr>
          <w:rFonts w:ascii="Times New Roman" w:hAnsi="Times New Roman"/>
          <w:color w:val="0E101A"/>
          <w:sz w:val="24"/>
          <w:szCs w:val="24"/>
        </w:rPr>
        <w:t xml:space="preserve"> FY 202</w:t>
      </w:r>
      <w:r>
        <w:rPr>
          <w:rFonts w:ascii="Times New Roman" w:hAnsi="Times New Roman"/>
          <w:color w:val="0E101A"/>
          <w:sz w:val="24"/>
          <w:szCs w:val="24"/>
        </w:rPr>
        <w:t>2</w:t>
      </w:r>
      <w:r w:rsidRPr="00B62B54">
        <w:rPr>
          <w:rFonts w:ascii="Times New Roman" w:hAnsi="Times New Roman"/>
          <w:color w:val="0E101A"/>
          <w:sz w:val="24"/>
          <w:szCs w:val="24"/>
        </w:rPr>
        <w:t xml:space="preserve">, </w:t>
      </w:r>
      <w:r>
        <w:rPr>
          <w:rFonts w:ascii="Times New Roman" w:hAnsi="Times New Roman"/>
          <w:color w:val="0E101A"/>
          <w:sz w:val="24"/>
          <w:szCs w:val="24"/>
        </w:rPr>
        <w:t>DBHDS</w:t>
      </w:r>
      <w:r w:rsidRPr="00B62B54">
        <w:rPr>
          <w:rFonts w:ascii="Times New Roman" w:hAnsi="Times New Roman"/>
          <w:color w:val="0E101A"/>
          <w:sz w:val="24"/>
          <w:szCs w:val="24"/>
        </w:rPr>
        <w:t xml:space="preserve"> </w:t>
      </w:r>
      <w:r>
        <w:rPr>
          <w:rFonts w:ascii="Times New Roman" w:hAnsi="Times New Roman"/>
          <w:color w:val="0E101A"/>
          <w:sz w:val="24"/>
          <w:szCs w:val="24"/>
        </w:rPr>
        <w:t>and DMAS have created approximately 40</w:t>
      </w:r>
      <w:r w:rsidR="00DE6314">
        <w:rPr>
          <w:rFonts w:ascii="Times New Roman" w:hAnsi="Times New Roman"/>
          <w:color w:val="0E101A"/>
          <w:sz w:val="24"/>
          <w:szCs w:val="24"/>
        </w:rPr>
        <w:t xml:space="preserve"> percent</w:t>
      </w:r>
      <w:r>
        <w:rPr>
          <w:rFonts w:ascii="Times New Roman" w:hAnsi="Times New Roman"/>
          <w:color w:val="0E101A"/>
          <w:sz w:val="24"/>
          <w:szCs w:val="24"/>
        </w:rPr>
        <w:t xml:space="preserve"> of the reviews.</w:t>
      </w:r>
      <w:r w:rsidRPr="00B62B54">
        <w:rPr>
          <w:rFonts w:ascii="Times New Roman" w:hAnsi="Times New Roman"/>
          <w:color w:val="0E101A"/>
          <w:sz w:val="24"/>
          <w:szCs w:val="24"/>
        </w:rPr>
        <w:t>    </w:t>
      </w:r>
    </w:p>
    <w:p w14:paraId="7C20BCC6" w14:textId="77777777" w:rsidR="00092595" w:rsidRPr="00B62B54" w:rsidRDefault="00092595" w:rsidP="009054AA">
      <w:pPr>
        <w:pStyle w:val="ListParagraph"/>
        <w:numPr>
          <w:ilvl w:val="0"/>
          <w:numId w:val="16"/>
        </w:numPr>
        <w:spacing w:after="0" w:line="240" w:lineRule="auto"/>
        <w:ind w:left="547"/>
        <w:rPr>
          <w:rFonts w:ascii="Times New Roman" w:hAnsi="Times New Roman"/>
          <w:sz w:val="24"/>
          <w:szCs w:val="24"/>
        </w:rPr>
      </w:pPr>
      <w:r w:rsidRPr="00B62B54">
        <w:rPr>
          <w:rFonts w:ascii="Times New Roman" w:hAnsi="Times New Roman"/>
          <w:sz w:val="24"/>
          <w:szCs w:val="24"/>
        </w:rPr>
        <w:t>Reviews of documentation have been completed for all CSBs for a five percent sample of individuals on the DD waiver waitlist to ensure accuracy and consistency of interpretation across the state for waitlist placement criteria and priority level status. </w:t>
      </w:r>
    </w:p>
    <w:p w14:paraId="0EF6E6D4" w14:textId="77777777" w:rsidR="00092595" w:rsidRPr="00E26CE7" w:rsidRDefault="00092595" w:rsidP="00F46923">
      <w:pPr>
        <w:rPr>
          <w:b/>
          <w:sz w:val="26"/>
          <w:szCs w:val="26"/>
        </w:rPr>
      </w:pPr>
      <w:r w:rsidRPr="00B62B54">
        <w:rPr>
          <w:b/>
          <w:bCs/>
          <w:i/>
          <w:iCs/>
        </w:rPr>
        <w:lastRenderedPageBreak/>
        <w:br/>
      </w:r>
      <w:r w:rsidRPr="00E26CE7">
        <w:rPr>
          <w:b/>
          <w:bCs/>
          <w:i/>
          <w:iCs/>
          <w:sz w:val="26"/>
          <w:szCs w:val="26"/>
        </w:rPr>
        <w:t>Supports Intensity Scale</w:t>
      </w:r>
      <w:r w:rsidRPr="00E26CE7">
        <w:rPr>
          <w:b/>
          <w:bCs/>
          <w:i/>
          <w:iCs/>
          <w:sz w:val="26"/>
          <w:szCs w:val="26"/>
          <w:vertAlign w:val="superscript"/>
        </w:rPr>
        <w:t>®</w:t>
      </w:r>
    </w:p>
    <w:p w14:paraId="3101FFE6" w14:textId="3C130EBA" w:rsidR="00092595" w:rsidRPr="00546B8D" w:rsidRDefault="00092595" w:rsidP="00546B8D">
      <w:pPr>
        <w:pStyle w:val="NoSpacing"/>
        <w:rPr>
          <w:rFonts w:ascii="Times New Roman" w:hAnsi="Times New Roman"/>
          <w:sz w:val="24"/>
          <w:szCs w:val="24"/>
        </w:rPr>
      </w:pPr>
      <w:r w:rsidRPr="00546B8D">
        <w:rPr>
          <w:rFonts w:ascii="Times New Roman" w:hAnsi="Times New Roman"/>
          <w:sz w:val="24"/>
          <w:szCs w:val="24"/>
        </w:rPr>
        <w:t>The Supports Intensity Scale (SIS</w:t>
      </w:r>
      <w:r w:rsidRPr="00546B8D">
        <w:rPr>
          <w:rFonts w:ascii="Times New Roman" w:hAnsi="Times New Roman"/>
          <w:sz w:val="24"/>
          <w:szCs w:val="24"/>
          <w:vertAlign w:val="superscript"/>
        </w:rPr>
        <w:t>®</w:t>
      </w:r>
      <w:r w:rsidRPr="00546B8D">
        <w:rPr>
          <w:rFonts w:ascii="Times New Roman" w:hAnsi="Times New Roman"/>
          <w:sz w:val="24"/>
          <w:szCs w:val="24"/>
        </w:rPr>
        <w:t xml:space="preserve">) is a comprehensive assessment used to identify the practical supports required for individuals enrolled in DD waivers. In Virginia, external organizations accredited to perform the SIS </w:t>
      </w:r>
      <w:r w:rsidR="00546B8D">
        <w:rPr>
          <w:rFonts w:ascii="Times New Roman" w:hAnsi="Times New Roman"/>
          <w:sz w:val="24"/>
          <w:szCs w:val="24"/>
        </w:rPr>
        <w:t>contract</w:t>
      </w:r>
      <w:r w:rsidRPr="00546B8D">
        <w:rPr>
          <w:rFonts w:ascii="Times New Roman" w:hAnsi="Times New Roman"/>
          <w:sz w:val="24"/>
          <w:szCs w:val="24"/>
        </w:rPr>
        <w:t xml:space="preserve"> with DBHDS to conduct the assessment.</w:t>
      </w:r>
    </w:p>
    <w:p w14:paraId="34C2ECD4" w14:textId="1A591B1A" w:rsidR="00092595" w:rsidRPr="00546B8D" w:rsidRDefault="00092595" w:rsidP="009054AA">
      <w:pPr>
        <w:pStyle w:val="NoSpacing"/>
        <w:numPr>
          <w:ilvl w:val="0"/>
          <w:numId w:val="26"/>
        </w:numPr>
        <w:ind w:left="540"/>
        <w:rPr>
          <w:rFonts w:ascii="Times New Roman" w:hAnsi="Times New Roman"/>
          <w:color w:val="242424"/>
          <w:sz w:val="24"/>
          <w:szCs w:val="24"/>
        </w:rPr>
      </w:pPr>
      <w:r w:rsidRPr="00546B8D">
        <w:rPr>
          <w:rFonts w:ascii="Times New Roman" w:hAnsi="Times New Roman"/>
          <w:color w:val="242424"/>
          <w:sz w:val="24"/>
          <w:szCs w:val="24"/>
        </w:rPr>
        <w:t>SIS vendors completed a total of 1</w:t>
      </w:r>
      <w:r w:rsidR="00546B8D">
        <w:rPr>
          <w:rFonts w:ascii="Times New Roman" w:hAnsi="Times New Roman"/>
          <w:color w:val="242424"/>
          <w:sz w:val="24"/>
          <w:szCs w:val="24"/>
        </w:rPr>
        <w:t>,</w:t>
      </w:r>
      <w:r w:rsidRPr="00546B8D">
        <w:rPr>
          <w:rFonts w:ascii="Times New Roman" w:hAnsi="Times New Roman"/>
          <w:color w:val="242424"/>
          <w:sz w:val="24"/>
          <w:szCs w:val="24"/>
        </w:rPr>
        <w:t>260 SIS assessments.</w:t>
      </w:r>
    </w:p>
    <w:p w14:paraId="3504456D" w14:textId="4126E466" w:rsidR="00092595" w:rsidRPr="00546B8D" w:rsidRDefault="00092595" w:rsidP="009054AA">
      <w:pPr>
        <w:pStyle w:val="NoSpacing"/>
        <w:numPr>
          <w:ilvl w:val="0"/>
          <w:numId w:val="26"/>
        </w:numPr>
        <w:ind w:left="540"/>
        <w:rPr>
          <w:rFonts w:ascii="Times New Roman" w:hAnsi="Times New Roman"/>
          <w:color w:val="242424"/>
          <w:sz w:val="24"/>
          <w:szCs w:val="24"/>
        </w:rPr>
      </w:pPr>
      <w:r w:rsidRPr="00546B8D">
        <w:rPr>
          <w:rFonts w:ascii="Times New Roman" w:hAnsi="Times New Roman"/>
          <w:color w:val="242424"/>
          <w:sz w:val="24"/>
          <w:szCs w:val="24"/>
        </w:rPr>
        <w:t xml:space="preserve">DBHDS began collecting SIS </w:t>
      </w:r>
      <w:r w:rsidR="00DE6314">
        <w:rPr>
          <w:rFonts w:ascii="Times New Roman" w:hAnsi="Times New Roman"/>
          <w:color w:val="242424"/>
          <w:sz w:val="24"/>
          <w:szCs w:val="24"/>
        </w:rPr>
        <w:t>s</w:t>
      </w:r>
      <w:r w:rsidRPr="00546B8D">
        <w:rPr>
          <w:rFonts w:ascii="Times New Roman" w:hAnsi="Times New Roman"/>
          <w:color w:val="242424"/>
          <w:sz w:val="24"/>
          <w:szCs w:val="24"/>
        </w:rPr>
        <w:t xml:space="preserve">atisfaction surveys in July 2020. From July 2020 – July 2022, an overall </w:t>
      </w:r>
      <w:r w:rsidR="00DE6314">
        <w:rPr>
          <w:rFonts w:ascii="Times New Roman" w:hAnsi="Times New Roman"/>
          <w:color w:val="242424"/>
          <w:sz w:val="24"/>
          <w:szCs w:val="24"/>
        </w:rPr>
        <w:t>s</w:t>
      </w:r>
      <w:r w:rsidRPr="00546B8D">
        <w:rPr>
          <w:rFonts w:ascii="Times New Roman" w:hAnsi="Times New Roman"/>
          <w:color w:val="242424"/>
          <w:sz w:val="24"/>
          <w:szCs w:val="24"/>
        </w:rPr>
        <w:t>atisfaction rating of 93</w:t>
      </w:r>
      <w:r w:rsidR="00546B8D">
        <w:rPr>
          <w:rFonts w:ascii="Times New Roman" w:hAnsi="Times New Roman"/>
          <w:color w:val="242424"/>
          <w:sz w:val="24"/>
          <w:szCs w:val="24"/>
        </w:rPr>
        <w:t xml:space="preserve"> percent</w:t>
      </w:r>
      <w:r w:rsidRPr="00546B8D">
        <w:rPr>
          <w:rFonts w:ascii="Times New Roman" w:hAnsi="Times New Roman"/>
          <w:color w:val="242424"/>
          <w:sz w:val="24"/>
          <w:szCs w:val="24"/>
        </w:rPr>
        <w:t> favorable responses has been maintained</w:t>
      </w:r>
      <w:r w:rsidR="00DE6314">
        <w:rPr>
          <w:rFonts w:ascii="Times New Roman" w:hAnsi="Times New Roman"/>
          <w:color w:val="242424"/>
          <w:sz w:val="24"/>
          <w:szCs w:val="24"/>
        </w:rPr>
        <w:t xml:space="preserve">, and the </w:t>
      </w:r>
      <w:r w:rsidRPr="00546B8D">
        <w:rPr>
          <w:rFonts w:ascii="Times New Roman" w:hAnsi="Times New Roman"/>
          <w:color w:val="242424"/>
          <w:sz w:val="24"/>
          <w:szCs w:val="24"/>
        </w:rPr>
        <w:t xml:space="preserve">overall </w:t>
      </w:r>
      <w:r w:rsidR="00546B8D">
        <w:rPr>
          <w:rFonts w:ascii="Times New Roman" w:hAnsi="Times New Roman"/>
          <w:color w:val="242424"/>
          <w:sz w:val="24"/>
          <w:szCs w:val="24"/>
        </w:rPr>
        <w:t>s</w:t>
      </w:r>
      <w:r w:rsidRPr="00546B8D">
        <w:rPr>
          <w:rFonts w:ascii="Times New Roman" w:hAnsi="Times New Roman"/>
          <w:color w:val="242424"/>
          <w:sz w:val="24"/>
          <w:szCs w:val="24"/>
        </w:rPr>
        <w:t>atisfaction rate was 96</w:t>
      </w:r>
      <w:r w:rsidR="00546B8D">
        <w:rPr>
          <w:rFonts w:ascii="Times New Roman" w:hAnsi="Times New Roman"/>
          <w:color w:val="242424"/>
          <w:sz w:val="24"/>
          <w:szCs w:val="24"/>
        </w:rPr>
        <w:t xml:space="preserve"> percent</w:t>
      </w:r>
      <w:r w:rsidR="00DE6314">
        <w:rPr>
          <w:rFonts w:ascii="Times New Roman" w:hAnsi="Times New Roman"/>
          <w:color w:val="242424"/>
          <w:sz w:val="24"/>
          <w:szCs w:val="24"/>
        </w:rPr>
        <w:t xml:space="preserve"> for FY 2022</w:t>
      </w:r>
      <w:r w:rsidRPr="00546B8D">
        <w:rPr>
          <w:rFonts w:ascii="Times New Roman" w:hAnsi="Times New Roman"/>
          <w:color w:val="242424"/>
          <w:sz w:val="24"/>
          <w:szCs w:val="24"/>
        </w:rPr>
        <w:t>.</w:t>
      </w:r>
    </w:p>
    <w:p w14:paraId="7FE83A37" w14:textId="60D14F7E" w:rsidR="00092595" w:rsidRPr="00546B8D" w:rsidRDefault="00092595" w:rsidP="009054AA">
      <w:pPr>
        <w:pStyle w:val="NoSpacing"/>
        <w:numPr>
          <w:ilvl w:val="0"/>
          <w:numId w:val="26"/>
        </w:numPr>
        <w:ind w:left="540"/>
        <w:rPr>
          <w:rFonts w:ascii="Times New Roman" w:hAnsi="Times New Roman"/>
          <w:color w:val="242424"/>
          <w:sz w:val="24"/>
          <w:szCs w:val="24"/>
        </w:rPr>
      </w:pPr>
      <w:r w:rsidRPr="00546B8D">
        <w:rPr>
          <w:rFonts w:ascii="Times New Roman" w:hAnsi="Times New Roman"/>
          <w:color w:val="242424"/>
          <w:sz w:val="24"/>
          <w:szCs w:val="24"/>
        </w:rPr>
        <w:t xml:space="preserve">In coordination with DMAS, DBHDS hosted the annual meeting of the SIS Stakeholders Workgroup on April 20, 2022. </w:t>
      </w:r>
    </w:p>
    <w:p w14:paraId="3D7D7FF6" w14:textId="77777777" w:rsidR="00092595" w:rsidRPr="00E26CE7" w:rsidRDefault="00092595" w:rsidP="00546B8D">
      <w:pPr>
        <w:pStyle w:val="NoSpacing"/>
        <w:rPr>
          <w:rFonts w:ascii="Times New Roman" w:hAnsi="Times New Roman"/>
          <w:b/>
          <w:bCs/>
          <w:i/>
          <w:iCs/>
          <w:sz w:val="26"/>
          <w:szCs w:val="26"/>
        </w:rPr>
      </w:pPr>
      <w:r w:rsidRPr="00B62B54">
        <w:rPr>
          <w:b/>
          <w:bCs/>
          <w:i/>
          <w:iCs/>
        </w:rPr>
        <w:br/>
      </w:r>
      <w:r w:rsidRPr="00E26CE7">
        <w:rPr>
          <w:rFonts w:ascii="Times New Roman" w:hAnsi="Times New Roman"/>
          <w:b/>
          <w:bCs/>
          <w:i/>
          <w:iCs/>
          <w:sz w:val="26"/>
          <w:szCs w:val="26"/>
        </w:rPr>
        <w:t>DD Waivers Customized Rate Program</w:t>
      </w:r>
    </w:p>
    <w:p w14:paraId="0CFE9067" w14:textId="7423691E" w:rsidR="00092595" w:rsidRPr="00084C7C" w:rsidRDefault="00092595" w:rsidP="00546B8D">
      <w:r w:rsidRPr="00084C7C">
        <w:t xml:space="preserve">In 2017, </w:t>
      </w:r>
      <w:r w:rsidR="00DE6314" w:rsidRPr="00084C7C">
        <w:t>CMS</w:t>
      </w:r>
      <w:r w:rsidRPr="00084C7C">
        <w:t xml:space="preserve"> approved a waiver amendment allowing providers to apply for a customized rate for individuals whose support needs fall outside of the standard rate structure. Any provider supporting an individual on the Family &amp; Individual Supports Waiver or Community Living Waiver are eligible to apply for a customized rate regardless of the individual’s assessed SIS</w:t>
      </w:r>
      <w:r w:rsidRPr="00084C7C">
        <w:rPr>
          <w:vertAlign w:val="superscript"/>
        </w:rPr>
        <w:t>©</w:t>
      </w:r>
      <w:r w:rsidRPr="00084C7C">
        <w:t xml:space="preserve"> score. If approved, a rate unique to the individual and/or service is developed. In FY 2022, the DD Waiver customized rate program helped individuals successfully live in the community and avoid unnecessary hospitalization </w:t>
      </w:r>
      <w:r w:rsidR="00546B8D" w:rsidRPr="00084C7C">
        <w:t>or</w:t>
      </w:r>
      <w:r w:rsidRPr="00084C7C">
        <w:t xml:space="preserve"> involvement with the criminal justice system by providing funding for additional staffing supports. In FY 2022, 209 applications were approved. </w:t>
      </w:r>
    </w:p>
    <w:p w14:paraId="1CF67BAA" w14:textId="026BCB87" w:rsidR="00092595" w:rsidRPr="00E26CE7" w:rsidRDefault="00092595" w:rsidP="00F46923">
      <w:pPr>
        <w:rPr>
          <w:b/>
          <w:bCs/>
          <w:i/>
          <w:iCs/>
          <w:sz w:val="26"/>
          <w:szCs w:val="26"/>
        </w:rPr>
      </w:pPr>
      <w:r w:rsidRPr="00084C7C">
        <w:rPr>
          <w:b/>
          <w:bCs/>
          <w:i/>
          <w:iCs/>
        </w:rPr>
        <w:br/>
      </w:r>
      <w:r w:rsidRPr="00E26CE7">
        <w:rPr>
          <w:b/>
          <w:bCs/>
          <w:i/>
          <w:iCs/>
          <w:sz w:val="26"/>
          <w:szCs w:val="26"/>
        </w:rPr>
        <w:t xml:space="preserve">Integrated Health </w:t>
      </w:r>
    </w:p>
    <w:p w14:paraId="36F2DDBC" w14:textId="58A842AA" w:rsidR="00092595" w:rsidRPr="00B62B54" w:rsidRDefault="00092595" w:rsidP="00F46923">
      <w:pPr>
        <w:autoSpaceDE w:val="0"/>
        <w:autoSpaceDN w:val="0"/>
      </w:pPr>
      <w:r w:rsidRPr="00B62B54">
        <w:t xml:space="preserve">The Office of Integrated Health (OIH) </w:t>
      </w:r>
      <w:r w:rsidR="00546B8D">
        <w:t>improves</w:t>
      </w:r>
      <w:r w:rsidRPr="00B62B54">
        <w:t xml:space="preserve"> access to gaps in services to improve quality of life and overall health. </w:t>
      </w:r>
      <w:proofErr w:type="gramStart"/>
      <w:r w:rsidRPr="00B62B54">
        <w:t>The Health Support Network (HSN),</w:t>
      </w:r>
      <w:proofErr w:type="gramEnd"/>
      <w:r w:rsidRPr="00B62B54">
        <w:t xml:space="preserve"> is under the umbrella of OIH.</w:t>
      </w:r>
    </w:p>
    <w:p w14:paraId="1E3138E2" w14:textId="77777777" w:rsidR="00092595" w:rsidRPr="00B62B54" w:rsidRDefault="00092595" w:rsidP="0021779A">
      <w:pPr>
        <w:pStyle w:val="ListParagraph"/>
        <w:numPr>
          <w:ilvl w:val="0"/>
          <w:numId w:val="6"/>
        </w:numPr>
        <w:tabs>
          <w:tab w:val="left" w:pos="540"/>
        </w:tabs>
        <w:autoSpaceDE w:val="0"/>
        <w:autoSpaceDN w:val="0"/>
        <w:spacing w:after="0" w:line="240" w:lineRule="auto"/>
        <w:ind w:left="547"/>
        <w:rPr>
          <w:rFonts w:ascii="Times New Roman" w:eastAsiaTheme="minorEastAsia" w:hAnsi="Times New Roman"/>
          <w:color w:val="000000" w:themeColor="text1"/>
          <w:sz w:val="24"/>
          <w:szCs w:val="24"/>
        </w:rPr>
      </w:pPr>
      <w:r w:rsidRPr="00B62B54">
        <w:rPr>
          <w:rFonts w:ascii="Times New Roman" w:eastAsia="Times New Roman" w:hAnsi="Times New Roman"/>
          <w:sz w:val="24"/>
          <w:szCs w:val="24"/>
        </w:rPr>
        <w:t xml:space="preserve">Performed </w:t>
      </w:r>
      <w:r>
        <w:rPr>
          <w:rFonts w:ascii="Times New Roman" w:hAnsi="Times New Roman"/>
          <w:sz w:val="24"/>
          <w:szCs w:val="24"/>
        </w:rPr>
        <w:t xml:space="preserve">8,643 </w:t>
      </w:r>
      <w:r w:rsidRPr="00B62B54">
        <w:rPr>
          <w:rFonts w:ascii="Times New Roman" w:eastAsia="Times New Roman" w:hAnsi="Times New Roman"/>
          <w:sz w:val="24"/>
          <w:szCs w:val="24"/>
        </w:rPr>
        <w:t xml:space="preserve">repairs to </w:t>
      </w:r>
      <w:r>
        <w:rPr>
          <w:rFonts w:ascii="Times New Roman" w:hAnsi="Times New Roman"/>
          <w:sz w:val="24"/>
          <w:szCs w:val="24"/>
        </w:rPr>
        <w:t xml:space="preserve">6,535 </w:t>
      </w:r>
      <w:r w:rsidRPr="00B62B54">
        <w:rPr>
          <w:rFonts w:ascii="Times New Roman" w:eastAsia="Times New Roman" w:hAnsi="Times New Roman"/>
          <w:sz w:val="24"/>
          <w:szCs w:val="24"/>
        </w:rPr>
        <w:t xml:space="preserve">pieces of durable medical equipment and assistive technology items </w:t>
      </w:r>
      <w:r>
        <w:rPr>
          <w:rFonts w:ascii="Times New Roman" w:eastAsia="Times New Roman" w:hAnsi="Times New Roman"/>
          <w:sz w:val="24"/>
          <w:szCs w:val="24"/>
        </w:rPr>
        <w:t>(such as wheelchairs). Also</w:t>
      </w:r>
      <w:r w:rsidRPr="00B62B54">
        <w:rPr>
          <w:rFonts w:ascii="Times New Roman" w:eastAsia="Times New Roman" w:hAnsi="Times New Roman"/>
          <w:sz w:val="24"/>
          <w:szCs w:val="24"/>
        </w:rPr>
        <w:t xml:space="preserve"> completed </w:t>
      </w:r>
      <w:r>
        <w:rPr>
          <w:rFonts w:ascii="Times New Roman" w:hAnsi="Times New Roman"/>
          <w:sz w:val="24"/>
          <w:szCs w:val="24"/>
        </w:rPr>
        <w:t>79</w:t>
      </w:r>
      <w:r w:rsidRPr="00B62B54">
        <w:rPr>
          <w:rFonts w:ascii="Times New Roman" w:eastAsia="Times New Roman" w:hAnsi="Times New Roman"/>
          <w:sz w:val="24"/>
          <w:szCs w:val="24"/>
        </w:rPr>
        <w:t xml:space="preserve"> custom adaptations.</w:t>
      </w:r>
    </w:p>
    <w:p w14:paraId="616009CB" w14:textId="4A1264AD" w:rsidR="00092595" w:rsidRPr="007C2DB5" w:rsidRDefault="00092595" w:rsidP="0021779A">
      <w:pPr>
        <w:pStyle w:val="ListParagraph"/>
        <w:numPr>
          <w:ilvl w:val="0"/>
          <w:numId w:val="6"/>
        </w:numPr>
        <w:tabs>
          <w:tab w:val="left" w:pos="540"/>
        </w:tabs>
        <w:autoSpaceDE w:val="0"/>
        <w:autoSpaceDN w:val="0"/>
        <w:spacing w:after="0" w:line="240" w:lineRule="auto"/>
        <w:ind w:left="547"/>
        <w:rPr>
          <w:rFonts w:ascii="Times New Roman" w:eastAsiaTheme="minorEastAsia" w:hAnsi="Times New Roman"/>
          <w:color w:val="000000" w:themeColor="text1"/>
          <w:sz w:val="24"/>
          <w:szCs w:val="24"/>
        </w:rPr>
      </w:pPr>
      <w:r w:rsidRPr="00B62B54">
        <w:rPr>
          <w:rFonts w:ascii="Times New Roman" w:eastAsia="Times New Roman" w:hAnsi="Times New Roman"/>
          <w:sz w:val="24"/>
          <w:szCs w:val="24"/>
        </w:rPr>
        <w:t>Faci</w:t>
      </w:r>
      <w:r>
        <w:rPr>
          <w:rFonts w:ascii="Times New Roman" w:eastAsia="Times New Roman" w:hAnsi="Times New Roman"/>
          <w:sz w:val="24"/>
          <w:szCs w:val="24"/>
        </w:rPr>
        <w:t>litated 599 regional community n</w:t>
      </w:r>
      <w:r w:rsidRPr="00B62B54">
        <w:rPr>
          <w:rFonts w:ascii="Times New Roman" w:eastAsia="Times New Roman" w:hAnsi="Times New Roman"/>
          <w:sz w:val="24"/>
          <w:szCs w:val="24"/>
        </w:rPr>
        <w:t xml:space="preserve">ursing meetings with a combined </w:t>
      </w:r>
      <w:r>
        <w:rPr>
          <w:rFonts w:ascii="Times New Roman" w:eastAsia="Times New Roman" w:hAnsi="Times New Roman"/>
          <w:sz w:val="24"/>
          <w:szCs w:val="24"/>
        </w:rPr>
        <w:t>1</w:t>
      </w:r>
      <w:r w:rsidR="00546B8D">
        <w:rPr>
          <w:rFonts w:ascii="Times New Roman" w:eastAsia="Times New Roman" w:hAnsi="Times New Roman"/>
          <w:sz w:val="24"/>
          <w:szCs w:val="24"/>
        </w:rPr>
        <w:t>,</w:t>
      </w:r>
      <w:r>
        <w:rPr>
          <w:rFonts w:ascii="Times New Roman" w:eastAsia="Times New Roman" w:hAnsi="Times New Roman"/>
          <w:sz w:val="24"/>
          <w:szCs w:val="24"/>
        </w:rPr>
        <w:t>074</w:t>
      </w:r>
      <w:r w:rsidRPr="00B62B54">
        <w:rPr>
          <w:rFonts w:ascii="Times New Roman" w:eastAsia="Times New Roman" w:hAnsi="Times New Roman"/>
          <w:sz w:val="24"/>
          <w:szCs w:val="24"/>
        </w:rPr>
        <w:t xml:space="preserve"> attendees</w:t>
      </w:r>
      <w:r>
        <w:rPr>
          <w:rFonts w:ascii="Times New Roman" w:eastAsia="Times New Roman" w:hAnsi="Times New Roman"/>
          <w:sz w:val="24"/>
          <w:szCs w:val="24"/>
        </w:rPr>
        <w:t>.</w:t>
      </w:r>
    </w:p>
    <w:p w14:paraId="3C64ACD4" w14:textId="3EAD106C" w:rsidR="00092595" w:rsidRPr="00F25159" w:rsidRDefault="00092595" w:rsidP="0021779A">
      <w:pPr>
        <w:pStyle w:val="ListParagraph"/>
        <w:numPr>
          <w:ilvl w:val="0"/>
          <w:numId w:val="6"/>
        </w:numPr>
        <w:tabs>
          <w:tab w:val="left" w:pos="540"/>
        </w:tabs>
        <w:autoSpaceDE w:val="0"/>
        <w:autoSpaceDN w:val="0"/>
        <w:spacing w:after="0" w:line="240" w:lineRule="auto"/>
        <w:ind w:left="547"/>
        <w:rPr>
          <w:rFonts w:ascii="Times New Roman" w:eastAsiaTheme="minorEastAsia" w:hAnsi="Times New Roman"/>
          <w:color w:val="000000" w:themeColor="text1"/>
          <w:sz w:val="24"/>
          <w:szCs w:val="24"/>
        </w:rPr>
      </w:pPr>
      <w:r>
        <w:rPr>
          <w:rFonts w:ascii="Times New Roman" w:eastAsia="Times New Roman" w:hAnsi="Times New Roman"/>
          <w:sz w:val="24"/>
          <w:szCs w:val="24"/>
        </w:rPr>
        <w:t xml:space="preserve">Presented </w:t>
      </w:r>
      <w:r w:rsidRPr="00F25159">
        <w:rPr>
          <w:rFonts w:ascii="Times New Roman" w:eastAsia="Times New Roman" w:hAnsi="Times New Roman"/>
          <w:sz w:val="24"/>
          <w:szCs w:val="24"/>
        </w:rPr>
        <w:t xml:space="preserve">77 </w:t>
      </w:r>
      <w:r>
        <w:rPr>
          <w:rFonts w:ascii="Times New Roman" w:eastAsia="Times New Roman" w:hAnsi="Times New Roman"/>
          <w:sz w:val="24"/>
          <w:szCs w:val="24"/>
        </w:rPr>
        <w:t xml:space="preserve">educational </w:t>
      </w:r>
      <w:r w:rsidRPr="00F25159">
        <w:rPr>
          <w:rFonts w:ascii="Times New Roman" w:eastAsia="Times New Roman" w:hAnsi="Times New Roman"/>
          <w:sz w:val="24"/>
          <w:szCs w:val="24"/>
        </w:rPr>
        <w:t>trainings with 4</w:t>
      </w:r>
      <w:r w:rsidR="00546B8D">
        <w:rPr>
          <w:rFonts w:ascii="Times New Roman" w:eastAsia="Times New Roman" w:hAnsi="Times New Roman"/>
          <w:sz w:val="24"/>
          <w:szCs w:val="24"/>
        </w:rPr>
        <w:t>,</w:t>
      </w:r>
      <w:r w:rsidRPr="00F25159">
        <w:rPr>
          <w:rFonts w:ascii="Times New Roman" w:eastAsia="Times New Roman" w:hAnsi="Times New Roman"/>
          <w:sz w:val="24"/>
          <w:szCs w:val="24"/>
        </w:rPr>
        <w:t xml:space="preserve">115 attendees </w:t>
      </w:r>
      <w:r w:rsidRPr="00B62B54">
        <w:rPr>
          <w:rFonts w:ascii="Times New Roman" w:eastAsia="Times New Roman" w:hAnsi="Times New Roman"/>
          <w:sz w:val="24"/>
          <w:szCs w:val="24"/>
        </w:rPr>
        <w:t>on topics addressing challenges in health and safety and reducing risk of injury or fatal outcomes.</w:t>
      </w:r>
    </w:p>
    <w:p w14:paraId="7D47130F" w14:textId="3C827420" w:rsidR="00092595" w:rsidRPr="00B62B54" w:rsidRDefault="00092595" w:rsidP="0021779A">
      <w:pPr>
        <w:pStyle w:val="ListParagraph"/>
        <w:numPr>
          <w:ilvl w:val="0"/>
          <w:numId w:val="6"/>
        </w:numPr>
        <w:tabs>
          <w:tab w:val="left" w:pos="540"/>
        </w:tabs>
        <w:autoSpaceDE w:val="0"/>
        <w:autoSpaceDN w:val="0"/>
        <w:spacing w:after="0" w:line="240" w:lineRule="auto"/>
        <w:ind w:left="547"/>
        <w:rPr>
          <w:rFonts w:ascii="Times New Roman" w:eastAsiaTheme="minorEastAsia" w:hAnsi="Times New Roman"/>
          <w:color w:val="000000" w:themeColor="text1"/>
          <w:sz w:val="24"/>
          <w:szCs w:val="24"/>
        </w:rPr>
      </w:pPr>
      <w:r w:rsidRPr="00B62B54">
        <w:rPr>
          <w:rFonts w:ascii="Times New Roman" w:eastAsia="Times New Roman" w:hAnsi="Times New Roman"/>
          <w:sz w:val="24"/>
          <w:szCs w:val="24"/>
        </w:rPr>
        <w:t xml:space="preserve">Circulated </w:t>
      </w:r>
      <w:r w:rsidR="00546B8D">
        <w:rPr>
          <w:rFonts w:ascii="Times New Roman" w:eastAsia="Times New Roman" w:hAnsi="Times New Roman"/>
          <w:sz w:val="24"/>
          <w:szCs w:val="24"/>
        </w:rPr>
        <w:t>26</w:t>
      </w:r>
      <w:r w:rsidRPr="00B62B54">
        <w:rPr>
          <w:rFonts w:ascii="Times New Roman" w:eastAsia="Times New Roman" w:hAnsi="Times New Roman"/>
          <w:sz w:val="24"/>
          <w:szCs w:val="24"/>
        </w:rPr>
        <w:t xml:space="preserve"> monthly </w:t>
      </w:r>
      <w:r w:rsidR="00546B8D">
        <w:rPr>
          <w:rFonts w:ascii="Times New Roman" w:eastAsia="Times New Roman" w:hAnsi="Times New Roman"/>
          <w:sz w:val="24"/>
          <w:szCs w:val="24"/>
        </w:rPr>
        <w:t>n</w:t>
      </w:r>
      <w:r w:rsidRPr="00B62B54">
        <w:rPr>
          <w:rFonts w:ascii="Times New Roman" w:eastAsia="Times New Roman" w:hAnsi="Times New Roman"/>
          <w:sz w:val="24"/>
          <w:szCs w:val="24"/>
        </w:rPr>
        <w:t xml:space="preserve">ewsletters and </w:t>
      </w:r>
      <w:r w:rsidR="00546B8D">
        <w:rPr>
          <w:rFonts w:ascii="Times New Roman" w:eastAsia="Times New Roman" w:hAnsi="Times New Roman"/>
          <w:sz w:val="24"/>
          <w:szCs w:val="24"/>
        </w:rPr>
        <w:t>h</w:t>
      </w:r>
      <w:r w:rsidRPr="00B62B54">
        <w:rPr>
          <w:rFonts w:ascii="Times New Roman" w:eastAsia="Times New Roman" w:hAnsi="Times New Roman"/>
          <w:sz w:val="24"/>
          <w:szCs w:val="24"/>
        </w:rPr>
        <w:t xml:space="preserve">ealth and </w:t>
      </w:r>
      <w:r w:rsidR="00546B8D">
        <w:rPr>
          <w:rFonts w:ascii="Times New Roman" w:eastAsia="Times New Roman" w:hAnsi="Times New Roman"/>
          <w:sz w:val="24"/>
          <w:szCs w:val="24"/>
        </w:rPr>
        <w:t>s</w:t>
      </w:r>
      <w:r w:rsidRPr="00B62B54">
        <w:rPr>
          <w:rFonts w:ascii="Times New Roman" w:eastAsia="Times New Roman" w:hAnsi="Times New Roman"/>
          <w:sz w:val="24"/>
          <w:szCs w:val="24"/>
        </w:rPr>
        <w:t xml:space="preserve">afety </w:t>
      </w:r>
      <w:r w:rsidR="00546B8D">
        <w:rPr>
          <w:rFonts w:ascii="Times New Roman" w:eastAsia="Times New Roman" w:hAnsi="Times New Roman"/>
          <w:sz w:val="24"/>
          <w:szCs w:val="24"/>
        </w:rPr>
        <w:t>a</w:t>
      </w:r>
      <w:r w:rsidRPr="00B62B54">
        <w:rPr>
          <w:rFonts w:ascii="Times New Roman" w:eastAsia="Times New Roman" w:hAnsi="Times New Roman"/>
          <w:sz w:val="24"/>
          <w:szCs w:val="24"/>
        </w:rPr>
        <w:t xml:space="preserve">lerts promoting best practices in the health care and </w:t>
      </w:r>
      <w:r>
        <w:rPr>
          <w:rFonts w:ascii="Times New Roman" w:eastAsia="Times New Roman" w:hAnsi="Times New Roman"/>
          <w:sz w:val="24"/>
          <w:szCs w:val="24"/>
        </w:rPr>
        <w:t>promoting</w:t>
      </w:r>
      <w:r w:rsidRPr="00B62B54">
        <w:rPr>
          <w:rFonts w:ascii="Times New Roman" w:eastAsia="Times New Roman" w:hAnsi="Times New Roman"/>
          <w:sz w:val="24"/>
          <w:szCs w:val="24"/>
        </w:rPr>
        <w:t xml:space="preserve"> safety interventions that can m</w:t>
      </w:r>
      <w:r>
        <w:rPr>
          <w:rFonts w:ascii="Times New Roman" w:eastAsia="Times New Roman" w:hAnsi="Times New Roman"/>
          <w:sz w:val="24"/>
          <w:szCs w:val="24"/>
        </w:rPr>
        <w:t>itigate risk</w:t>
      </w:r>
      <w:r w:rsidRPr="00B62B54">
        <w:rPr>
          <w:rFonts w:ascii="Times New Roman" w:eastAsia="Times New Roman" w:hAnsi="Times New Roman"/>
          <w:sz w:val="24"/>
          <w:szCs w:val="24"/>
        </w:rPr>
        <w:t>.</w:t>
      </w:r>
    </w:p>
    <w:p w14:paraId="2AB322AF" w14:textId="77777777" w:rsidR="00092595" w:rsidRPr="007635E3" w:rsidRDefault="00092595" w:rsidP="0021779A">
      <w:pPr>
        <w:pStyle w:val="ListParagraph"/>
        <w:numPr>
          <w:ilvl w:val="0"/>
          <w:numId w:val="6"/>
        </w:numPr>
        <w:tabs>
          <w:tab w:val="left" w:pos="540"/>
        </w:tabs>
        <w:autoSpaceDE w:val="0"/>
        <w:autoSpaceDN w:val="0"/>
        <w:spacing w:after="0" w:line="240" w:lineRule="auto"/>
        <w:ind w:left="547"/>
        <w:rPr>
          <w:rFonts w:ascii="Times New Roman" w:eastAsiaTheme="minorEastAsia" w:hAnsi="Times New Roman"/>
          <w:sz w:val="24"/>
          <w:szCs w:val="24"/>
        </w:rPr>
      </w:pPr>
      <w:r w:rsidRPr="00B62B54">
        <w:rPr>
          <w:rFonts w:ascii="Times New Roman" w:eastAsia="Times New Roman" w:hAnsi="Times New Roman"/>
          <w:sz w:val="24"/>
          <w:szCs w:val="24"/>
        </w:rPr>
        <w:t>At the end of FY</w:t>
      </w:r>
      <w:r>
        <w:rPr>
          <w:rFonts w:ascii="Times New Roman" w:eastAsia="Times New Roman" w:hAnsi="Times New Roman"/>
          <w:sz w:val="24"/>
          <w:szCs w:val="24"/>
        </w:rPr>
        <w:t xml:space="preserve"> 20</w:t>
      </w:r>
      <w:r w:rsidRPr="00B62B54">
        <w:rPr>
          <w:rFonts w:ascii="Times New Roman" w:eastAsia="Times New Roman" w:hAnsi="Times New Roman"/>
          <w:sz w:val="24"/>
          <w:szCs w:val="24"/>
        </w:rPr>
        <w:t>2</w:t>
      </w:r>
      <w:r>
        <w:rPr>
          <w:rFonts w:ascii="Times New Roman" w:eastAsia="Times New Roman" w:hAnsi="Times New Roman"/>
          <w:sz w:val="24"/>
          <w:szCs w:val="24"/>
        </w:rPr>
        <w:t>2</w:t>
      </w:r>
      <w:r w:rsidRPr="00B62B54">
        <w:rPr>
          <w:rFonts w:ascii="Times New Roman" w:eastAsia="Times New Roman" w:hAnsi="Times New Roman"/>
          <w:sz w:val="24"/>
          <w:szCs w:val="24"/>
        </w:rPr>
        <w:t xml:space="preserve"> the dental team was serving </w:t>
      </w:r>
      <w:r>
        <w:rPr>
          <w:rFonts w:ascii="Times New Roman" w:hAnsi="Times New Roman"/>
          <w:sz w:val="24"/>
          <w:szCs w:val="24"/>
        </w:rPr>
        <w:t>1559</w:t>
      </w:r>
      <w:r w:rsidRPr="00B62B54">
        <w:rPr>
          <w:rFonts w:ascii="Times New Roman" w:eastAsia="Times New Roman" w:hAnsi="Times New Roman"/>
          <w:sz w:val="24"/>
          <w:szCs w:val="24"/>
        </w:rPr>
        <w:t xml:space="preserve"> individuals with </w:t>
      </w:r>
      <w:r>
        <w:rPr>
          <w:rFonts w:ascii="Times New Roman" w:eastAsia="Times New Roman" w:hAnsi="Times New Roman"/>
          <w:sz w:val="24"/>
          <w:szCs w:val="24"/>
        </w:rPr>
        <w:t>DD</w:t>
      </w:r>
      <w:r w:rsidRPr="00B62B54">
        <w:rPr>
          <w:rFonts w:ascii="Times New Roman" w:eastAsia="Times New Roman" w:hAnsi="Times New Roman"/>
          <w:sz w:val="24"/>
          <w:szCs w:val="24"/>
        </w:rPr>
        <w:t xml:space="preserve"> without using restraints or general anesthesia through the </w:t>
      </w:r>
      <w:r>
        <w:rPr>
          <w:rFonts w:ascii="Times New Roman" w:eastAsia="Times New Roman" w:hAnsi="Times New Roman"/>
          <w:sz w:val="24"/>
          <w:szCs w:val="24"/>
        </w:rPr>
        <w:t>Health Support Network program.</w:t>
      </w:r>
    </w:p>
    <w:p w14:paraId="35464D58" w14:textId="403E6586" w:rsidR="00092595" w:rsidRPr="00B62B54" w:rsidRDefault="00092595" w:rsidP="0021779A">
      <w:pPr>
        <w:pStyle w:val="ListParagraph"/>
        <w:numPr>
          <w:ilvl w:val="0"/>
          <w:numId w:val="6"/>
        </w:numPr>
        <w:tabs>
          <w:tab w:val="left" w:pos="540"/>
        </w:tabs>
        <w:autoSpaceDE w:val="0"/>
        <w:autoSpaceDN w:val="0"/>
        <w:spacing w:after="0" w:line="240" w:lineRule="auto"/>
        <w:ind w:left="547"/>
        <w:rPr>
          <w:rFonts w:ascii="Times New Roman" w:eastAsiaTheme="minorEastAsia" w:hAnsi="Times New Roman"/>
          <w:sz w:val="24"/>
          <w:szCs w:val="24"/>
        </w:rPr>
      </w:pPr>
      <w:r>
        <w:rPr>
          <w:rFonts w:ascii="Times New Roman" w:hAnsi="Times New Roman"/>
          <w:sz w:val="24"/>
          <w:szCs w:val="24"/>
        </w:rPr>
        <w:t>T</w:t>
      </w:r>
      <w:r w:rsidRPr="00B62B54">
        <w:rPr>
          <w:rFonts w:ascii="Times New Roman" w:hAnsi="Times New Roman"/>
          <w:sz w:val="24"/>
          <w:szCs w:val="24"/>
        </w:rPr>
        <w:t xml:space="preserve">he Preadmission Screening and Resident Review (PASRR) process is a </w:t>
      </w:r>
      <w:r w:rsidR="007E36B5" w:rsidRPr="00B62B54">
        <w:rPr>
          <w:rFonts w:ascii="Times New Roman" w:hAnsi="Times New Roman"/>
          <w:sz w:val="24"/>
          <w:szCs w:val="24"/>
        </w:rPr>
        <w:t>federally</w:t>
      </w:r>
      <w:r w:rsidR="007E36B5">
        <w:rPr>
          <w:rFonts w:ascii="Times New Roman" w:hAnsi="Times New Roman"/>
          <w:sz w:val="24"/>
          <w:szCs w:val="24"/>
        </w:rPr>
        <w:t xml:space="preserve"> mandated</w:t>
      </w:r>
      <w:r w:rsidRPr="00B62B54">
        <w:rPr>
          <w:rFonts w:ascii="Times New Roman" w:hAnsi="Times New Roman"/>
          <w:sz w:val="24"/>
          <w:szCs w:val="24"/>
        </w:rPr>
        <w:t xml:space="preserve"> </w:t>
      </w:r>
      <w:r>
        <w:rPr>
          <w:rFonts w:ascii="Times New Roman" w:hAnsi="Times New Roman"/>
          <w:sz w:val="24"/>
          <w:szCs w:val="24"/>
        </w:rPr>
        <w:t xml:space="preserve">process that ensures individuals with DD </w:t>
      </w:r>
      <w:r w:rsidRPr="00B62B54">
        <w:rPr>
          <w:rFonts w:ascii="Times New Roman" w:hAnsi="Times New Roman"/>
          <w:sz w:val="24"/>
          <w:szCs w:val="24"/>
        </w:rPr>
        <w:t>or severe mental illness admitted to nursing facilit</w:t>
      </w:r>
      <w:r>
        <w:rPr>
          <w:rFonts w:ascii="Times New Roman" w:hAnsi="Times New Roman"/>
          <w:sz w:val="24"/>
          <w:szCs w:val="24"/>
        </w:rPr>
        <w:t>ies</w:t>
      </w:r>
      <w:r w:rsidRPr="00B62B54">
        <w:rPr>
          <w:rFonts w:ascii="Times New Roman" w:hAnsi="Times New Roman"/>
          <w:sz w:val="24"/>
          <w:szCs w:val="24"/>
        </w:rPr>
        <w:t xml:space="preserve"> meet criteria for admission. The PASRR team completed </w:t>
      </w:r>
      <w:r>
        <w:rPr>
          <w:rFonts w:ascii="Times New Roman" w:hAnsi="Times New Roman"/>
          <w:sz w:val="24"/>
          <w:szCs w:val="24"/>
        </w:rPr>
        <w:t xml:space="preserve">818 </w:t>
      </w:r>
      <w:r w:rsidRPr="00B62B54">
        <w:rPr>
          <w:rFonts w:ascii="Times New Roman" w:hAnsi="Times New Roman"/>
          <w:sz w:val="24"/>
          <w:szCs w:val="24"/>
        </w:rPr>
        <w:t>evaluations for individuals</w:t>
      </w:r>
      <w:r>
        <w:rPr>
          <w:rFonts w:ascii="Times New Roman" w:hAnsi="Times New Roman"/>
          <w:sz w:val="24"/>
          <w:szCs w:val="24"/>
        </w:rPr>
        <w:t xml:space="preserve"> </w:t>
      </w:r>
      <w:r w:rsidRPr="00B62B54">
        <w:rPr>
          <w:rFonts w:ascii="Times New Roman" w:hAnsi="Times New Roman"/>
          <w:sz w:val="24"/>
          <w:szCs w:val="24"/>
        </w:rPr>
        <w:t xml:space="preserve">who were referred to or seeking admission to nursing homes. </w:t>
      </w:r>
    </w:p>
    <w:p w14:paraId="65120487" w14:textId="77777777" w:rsidR="00092595" w:rsidRPr="00B62B54" w:rsidRDefault="00092595" w:rsidP="00F46923">
      <w:pPr>
        <w:pStyle w:val="ListParagraph"/>
        <w:tabs>
          <w:tab w:val="left" w:pos="540"/>
        </w:tabs>
        <w:autoSpaceDE w:val="0"/>
        <w:autoSpaceDN w:val="0"/>
        <w:spacing w:after="0" w:line="240" w:lineRule="auto"/>
        <w:ind w:left="540"/>
        <w:rPr>
          <w:rFonts w:ascii="Times New Roman" w:eastAsia="Times New Roman" w:hAnsi="Times New Roman"/>
          <w:sz w:val="24"/>
          <w:szCs w:val="24"/>
        </w:rPr>
      </w:pPr>
    </w:p>
    <w:p w14:paraId="7F44ADE5" w14:textId="77777777" w:rsidR="00092595" w:rsidRPr="00E26CE7" w:rsidRDefault="00092595" w:rsidP="00F46923">
      <w:pPr>
        <w:pStyle w:val="ListParagraph"/>
        <w:tabs>
          <w:tab w:val="left" w:pos="540"/>
        </w:tabs>
        <w:autoSpaceDE w:val="0"/>
        <w:autoSpaceDN w:val="0"/>
        <w:spacing w:after="0" w:line="240" w:lineRule="auto"/>
        <w:ind w:left="0"/>
        <w:rPr>
          <w:rFonts w:ascii="Times New Roman" w:eastAsia="Times New Roman" w:hAnsi="Times New Roman"/>
          <w:b/>
          <w:bCs/>
          <w:i/>
          <w:iCs/>
          <w:sz w:val="26"/>
          <w:szCs w:val="26"/>
        </w:rPr>
      </w:pPr>
      <w:r w:rsidRPr="00E26CE7">
        <w:rPr>
          <w:rFonts w:ascii="Times New Roman" w:eastAsia="Times New Roman" w:hAnsi="Times New Roman"/>
          <w:b/>
          <w:bCs/>
          <w:i/>
          <w:iCs/>
          <w:sz w:val="26"/>
          <w:szCs w:val="26"/>
        </w:rPr>
        <w:t xml:space="preserve">Provider Development </w:t>
      </w:r>
    </w:p>
    <w:p w14:paraId="08D017E4" w14:textId="77777777" w:rsidR="00092595" w:rsidRPr="00084C7C" w:rsidRDefault="00092595" w:rsidP="00084C7C">
      <w:pPr>
        <w:pStyle w:val="NoSpacing"/>
        <w:rPr>
          <w:rFonts w:ascii="Times New Roman" w:eastAsiaTheme="minorEastAsia" w:hAnsi="Times New Roman"/>
          <w:color w:val="000000" w:themeColor="text1"/>
          <w:sz w:val="24"/>
          <w:szCs w:val="24"/>
        </w:rPr>
      </w:pPr>
      <w:r w:rsidRPr="00084C7C">
        <w:rPr>
          <w:rFonts w:ascii="Times New Roman" w:hAnsi="Times New Roman"/>
          <w:sz w:val="24"/>
          <w:szCs w:val="24"/>
        </w:rPr>
        <w:t>Provider Development focuses on developing and sustaining a qualified community of providers so people with DD and their families have choice and access to options that meet their needs.</w:t>
      </w:r>
    </w:p>
    <w:p w14:paraId="3231364F" w14:textId="77777777" w:rsidR="00092595" w:rsidRPr="00084C7C" w:rsidRDefault="00092595" w:rsidP="009054AA">
      <w:pPr>
        <w:pStyle w:val="NoSpacing"/>
        <w:numPr>
          <w:ilvl w:val="0"/>
          <w:numId w:val="66"/>
        </w:numPr>
        <w:ind w:left="540"/>
        <w:rPr>
          <w:rFonts w:ascii="Times New Roman" w:hAnsi="Times New Roman"/>
          <w:color w:val="242424"/>
          <w:sz w:val="24"/>
          <w:szCs w:val="24"/>
        </w:rPr>
      </w:pPr>
      <w:r w:rsidRPr="00084C7C">
        <w:rPr>
          <w:rFonts w:ascii="Times New Roman" w:hAnsi="Times New Roman"/>
          <w:color w:val="242424"/>
          <w:sz w:val="24"/>
          <w:szCs w:val="24"/>
        </w:rPr>
        <w:t>Held quarterly provider round table and support coordinator meetings attended by 2,041 representatives to share updates, initiatives, and obtain stakeholder feedback.</w:t>
      </w:r>
    </w:p>
    <w:p w14:paraId="24FD3C2F" w14:textId="77777777" w:rsidR="00092595" w:rsidRPr="00084C7C" w:rsidRDefault="00092595" w:rsidP="009054AA">
      <w:pPr>
        <w:pStyle w:val="NoSpacing"/>
        <w:numPr>
          <w:ilvl w:val="0"/>
          <w:numId w:val="66"/>
        </w:numPr>
        <w:ind w:left="540"/>
        <w:rPr>
          <w:rFonts w:ascii="Times New Roman" w:hAnsi="Times New Roman"/>
          <w:color w:val="242424"/>
          <w:sz w:val="24"/>
          <w:szCs w:val="24"/>
        </w:rPr>
      </w:pPr>
      <w:r w:rsidRPr="00084C7C">
        <w:rPr>
          <w:rFonts w:ascii="Times New Roman" w:hAnsi="Times New Roman"/>
          <w:color w:val="242424"/>
          <w:sz w:val="24"/>
          <w:szCs w:val="24"/>
        </w:rPr>
        <w:lastRenderedPageBreak/>
        <w:t>Continued the implementation of a support coordination quality review process and established a process of monitoring CSB performance with the Case Management Steering Committee.</w:t>
      </w:r>
    </w:p>
    <w:p w14:paraId="21FA957E" w14:textId="77777777" w:rsidR="00092595" w:rsidRPr="00084C7C" w:rsidRDefault="00092595" w:rsidP="009054AA">
      <w:pPr>
        <w:pStyle w:val="NoSpacing"/>
        <w:numPr>
          <w:ilvl w:val="0"/>
          <w:numId w:val="66"/>
        </w:numPr>
        <w:ind w:left="540"/>
        <w:rPr>
          <w:rFonts w:ascii="Times New Roman" w:hAnsi="Times New Roman"/>
          <w:color w:val="242424"/>
          <w:sz w:val="24"/>
          <w:szCs w:val="24"/>
        </w:rPr>
      </w:pPr>
      <w:r w:rsidRPr="00084C7C">
        <w:rPr>
          <w:rFonts w:ascii="Times New Roman" w:hAnsi="Times New Roman"/>
          <w:color w:val="242424"/>
          <w:sz w:val="24"/>
          <w:szCs w:val="24"/>
        </w:rPr>
        <w:t>Established a Data Quality Support process to support CSBs in identifying and resolving issues with data reliability and validity</w:t>
      </w:r>
    </w:p>
    <w:p w14:paraId="2545C204" w14:textId="77777777" w:rsidR="00092595" w:rsidRPr="00084C7C" w:rsidRDefault="00092595" w:rsidP="009054AA">
      <w:pPr>
        <w:pStyle w:val="NoSpacing"/>
        <w:numPr>
          <w:ilvl w:val="0"/>
          <w:numId w:val="66"/>
        </w:numPr>
        <w:ind w:left="540"/>
        <w:rPr>
          <w:rFonts w:ascii="Times New Roman" w:hAnsi="Times New Roman"/>
          <w:color w:val="242424"/>
          <w:sz w:val="24"/>
          <w:szCs w:val="24"/>
        </w:rPr>
      </w:pPr>
      <w:r w:rsidRPr="00084C7C">
        <w:rPr>
          <w:rFonts w:ascii="Times New Roman" w:hAnsi="Times New Roman"/>
          <w:color w:val="242424"/>
          <w:sz w:val="24"/>
          <w:szCs w:val="24"/>
        </w:rPr>
        <w:t>Processed 574 regional support team (RST) referrals to review informed choice and increase consideration of more integrated service options statewide.</w:t>
      </w:r>
    </w:p>
    <w:p w14:paraId="1335FC58" w14:textId="77777777" w:rsidR="00092595" w:rsidRPr="00084C7C" w:rsidRDefault="00092595" w:rsidP="009054AA">
      <w:pPr>
        <w:pStyle w:val="NoSpacing"/>
        <w:numPr>
          <w:ilvl w:val="0"/>
          <w:numId w:val="66"/>
        </w:numPr>
        <w:ind w:left="540"/>
        <w:rPr>
          <w:rFonts w:ascii="Times New Roman" w:hAnsi="Times New Roman"/>
          <w:color w:val="242424"/>
          <w:sz w:val="24"/>
          <w:szCs w:val="24"/>
        </w:rPr>
      </w:pPr>
      <w:r w:rsidRPr="00084C7C">
        <w:rPr>
          <w:rFonts w:ascii="Times New Roman" w:hAnsi="Times New Roman"/>
          <w:color w:val="242424"/>
          <w:sz w:val="24"/>
          <w:szCs w:val="24"/>
        </w:rPr>
        <w:t xml:space="preserve">Modified the Jump-Start funding initiative to include funding for </w:t>
      </w:r>
      <w:proofErr w:type="gramStart"/>
      <w:r w:rsidRPr="00084C7C">
        <w:rPr>
          <w:rFonts w:ascii="Times New Roman" w:hAnsi="Times New Roman"/>
          <w:color w:val="242424"/>
          <w:sz w:val="24"/>
          <w:szCs w:val="24"/>
        </w:rPr>
        <w:t>children’s</w:t>
      </w:r>
      <w:proofErr w:type="gramEnd"/>
      <w:r w:rsidRPr="00084C7C">
        <w:rPr>
          <w:rFonts w:ascii="Times New Roman" w:hAnsi="Times New Roman"/>
          <w:color w:val="242424"/>
          <w:sz w:val="24"/>
          <w:szCs w:val="24"/>
        </w:rPr>
        <w:t xml:space="preserve"> sponsored residential, skilled nursing, and behavioral therapeutic consultation to incentivize provider development in areas of need.</w:t>
      </w:r>
    </w:p>
    <w:p w14:paraId="191E7D9C" w14:textId="77777777" w:rsidR="00092595" w:rsidRPr="00084C7C" w:rsidRDefault="00092595" w:rsidP="009054AA">
      <w:pPr>
        <w:pStyle w:val="NoSpacing"/>
        <w:numPr>
          <w:ilvl w:val="0"/>
          <w:numId w:val="66"/>
        </w:numPr>
        <w:ind w:left="540"/>
        <w:rPr>
          <w:rFonts w:ascii="Times New Roman" w:hAnsi="Times New Roman"/>
          <w:color w:val="242424"/>
          <w:sz w:val="24"/>
          <w:szCs w:val="24"/>
        </w:rPr>
      </w:pPr>
      <w:r w:rsidRPr="00084C7C">
        <w:rPr>
          <w:rFonts w:ascii="Times New Roman" w:hAnsi="Times New Roman"/>
          <w:color w:val="242424"/>
          <w:sz w:val="24"/>
          <w:szCs w:val="24"/>
        </w:rPr>
        <w:t>Initiated a contract with the Arc of Virginia to implement a Peer Mentor process and launch a project focused on the sharing of online personal stories by people with DD about their experiences having more integration and more choice and control.</w:t>
      </w:r>
    </w:p>
    <w:p w14:paraId="3D23AF26" w14:textId="7D11C32D" w:rsidR="00092595" w:rsidRPr="00084C7C" w:rsidRDefault="00092595" w:rsidP="009054AA">
      <w:pPr>
        <w:pStyle w:val="NoSpacing"/>
        <w:numPr>
          <w:ilvl w:val="0"/>
          <w:numId w:val="66"/>
        </w:numPr>
        <w:ind w:left="540"/>
        <w:rPr>
          <w:rFonts w:ascii="Times New Roman" w:hAnsi="Times New Roman"/>
          <w:color w:val="242424"/>
          <w:sz w:val="24"/>
          <w:szCs w:val="24"/>
        </w:rPr>
      </w:pPr>
      <w:r w:rsidRPr="00084C7C">
        <w:rPr>
          <w:rFonts w:ascii="Times New Roman" w:hAnsi="Times New Roman"/>
          <w:color w:val="242424"/>
          <w:sz w:val="24"/>
          <w:szCs w:val="24"/>
        </w:rPr>
        <w:t>Awarded $104,385 to create integrated service options in underserved areas.</w:t>
      </w:r>
    </w:p>
    <w:p w14:paraId="1D032983" w14:textId="7BB0315B" w:rsidR="00092595" w:rsidRPr="00084C7C" w:rsidRDefault="00092595" w:rsidP="009054AA">
      <w:pPr>
        <w:pStyle w:val="NoSpacing"/>
        <w:numPr>
          <w:ilvl w:val="0"/>
          <w:numId w:val="66"/>
        </w:numPr>
        <w:ind w:left="540"/>
        <w:rPr>
          <w:rFonts w:ascii="Times New Roman" w:hAnsi="Times New Roman"/>
          <w:color w:val="242424"/>
          <w:sz w:val="24"/>
          <w:szCs w:val="24"/>
        </w:rPr>
      </w:pPr>
      <w:r w:rsidRPr="00084C7C">
        <w:rPr>
          <w:rFonts w:ascii="Times New Roman" w:hAnsi="Times New Roman"/>
          <w:color w:val="242424"/>
          <w:sz w:val="24"/>
          <w:szCs w:val="24"/>
        </w:rPr>
        <w:t xml:space="preserve">Updated the centralized Individual Support Plan to </w:t>
      </w:r>
      <w:r w:rsidR="00D25061" w:rsidRPr="00084C7C">
        <w:rPr>
          <w:rFonts w:ascii="Times New Roman" w:hAnsi="Times New Roman"/>
          <w:color w:val="242424"/>
          <w:sz w:val="24"/>
          <w:szCs w:val="24"/>
        </w:rPr>
        <w:t>further align</w:t>
      </w:r>
      <w:r w:rsidRPr="00084C7C">
        <w:rPr>
          <w:rFonts w:ascii="Times New Roman" w:hAnsi="Times New Roman"/>
          <w:color w:val="242424"/>
          <w:sz w:val="24"/>
          <w:szCs w:val="24"/>
        </w:rPr>
        <w:t xml:space="preserve"> with </w:t>
      </w:r>
      <w:r w:rsidR="00D25061" w:rsidRPr="00084C7C">
        <w:rPr>
          <w:rFonts w:ascii="Times New Roman" w:hAnsi="Times New Roman"/>
          <w:color w:val="242424"/>
          <w:sz w:val="24"/>
          <w:szCs w:val="24"/>
        </w:rPr>
        <w:t xml:space="preserve">the </w:t>
      </w:r>
      <w:r w:rsidRPr="00084C7C">
        <w:rPr>
          <w:rFonts w:ascii="Times New Roman" w:hAnsi="Times New Roman"/>
          <w:color w:val="242424"/>
          <w:sz w:val="24"/>
          <w:szCs w:val="24"/>
        </w:rPr>
        <w:t>Settlement Agreement and enhance the collection of critical health information and history.</w:t>
      </w:r>
    </w:p>
    <w:p w14:paraId="31625E94" w14:textId="77777777" w:rsidR="00084C7C" w:rsidRPr="007C2DB5" w:rsidRDefault="00084C7C" w:rsidP="00084C7C">
      <w:pPr>
        <w:pStyle w:val="NoSpacing"/>
        <w:rPr>
          <w:color w:val="242424"/>
          <w:sz w:val="21"/>
          <w:szCs w:val="21"/>
        </w:rPr>
      </w:pPr>
    </w:p>
    <w:p w14:paraId="1D5C3EDD" w14:textId="73ADBFCC" w:rsidR="00092595" w:rsidRPr="00E26CE7" w:rsidRDefault="00092595" w:rsidP="00F46923">
      <w:pPr>
        <w:ind w:right="424"/>
        <w:rPr>
          <w:rFonts w:eastAsia="Calibri"/>
          <w:b/>
          <w:bCs/>
          <w:i/>
          <w:iCs/>
          <w:sz w:val="26"/>
          <w:szCs w:val="26"/>
        </w:rPr>
      </w:pPr>
      <w:r w:rsidRPr="00E26CE7">
        <w:rPr>
          <w:rFonts w:eastAsia="Calibri"/>
          <w:b/>
          <w:bCs/>
          <w:i/>
          <w:iCs/>
          <w:sz w:val="26"/>
          <w:szCs w:val="26"/>
        </w:rPr>
        <w:t xml:space="preserve">Individual and Family Support Program (IFSP) </w:t>
      </w:r>
    </w:p>
    <w:p w14:paraId="76E46791" w14:textId="19F2BE11" w:rsidR="00092595" w:rsidRPr="00361164" w:rsidRDefault="00092595" w:rsidP="00361164">
      <w:pPr>
        <w:pStyle w:val="NoSpacing"/>
        <w:rPr>
          <w:rFonts w:ascii="Times New Roman" w:hAnsi="Times New Roman"/>
          <w:sz w:val="24"/>
          <w:szCs w:val="24"/>
        </w:rPr>
      </w:pPr>
      <w:r w:rsidRPr="00361164">
        <w:rPr>
          <w:rFonts w:ascii="Times New Roman" w:hAnsi="Times New Roman"/>
          <w:sz w:val="24"/>
          <w:szCs w:val="24"/>
          <w:shd w:val="clear" w:color="auto" w:fill="FFFFFF"/>
        </w:rPr>
        <w:t xml:space="preserve">IFSP provides financial assistance to individuals and families on the waitlist for services through one of Virginia’s DD waivers to cover eligible costs that support continued living in an independent setting. </w:t>
      </w:r>
      <w:r w:rsidR="00795FF4">
        <w:rPr>
          <w:rFonts w:ascii="Times New Roman" w:hAnsi="Times New Roman"/>
          <w:sz w:val="24"/>
          <w:szCs w:val="24"/>
          <w:shd w:val="clear" w:color="auto" w:fill="FFFFFF"/>
        </w:rPr>
        <w:t xml:space="preserve">There was a </w:t>
      </w:r>
      <w:r w:rsidRPr="00361164">
        <w:rPr>
          <w:rFonts w:ascii="Times New Roman" w:hAnsi="Times New Roman"/>
          <w:sz w:val="24"/>
          <w:szCs w:val="24"/>
          <w:shd w:val="clear" w:color="auto" w:fill="FFFFFF"/>
        </w:rPr>
        <w:t>significant technical issue with the program’s data portal in FY 2020. In FY 2022, the system experienced another significant technical issue</w:t>
      </w:r>
      <w:r w:rsidR="00795FF4">
        <w:rPr>
          <w:rFonts w:ascii="Times New Roman" w:hAnsi="Times New Roman"/>
          <w:sz w:val="24"/>
          <w:szCs w:val="24"/>
          <w:shd w:val="clear" w:color="auto" w:fill="FFFFFF"/>
        </w:rPr>
        <w:t>;</w:t>
      </w:r>
      <w:r w:rsidRPr="00361164">
        <w:rPr>
          <w:rFonts w:ascii="Times New Roman" w:hAnsi="Times New Roman"/>
          <w:sz w:val="24"/>
          <w:szCs w:val="24"/>
          <w:shd w:val="clear" w:color="auto" w:fill="FFFFFF"/>
        </w:rPr>
        <w:t xml:space="preserve"> however, </w:t>
      </w:r>
      <w:r w:rsidR="00795FF4">
        <w:rPr>
          <w:rFonts w:ascii="Times New Roman" w:hAnsi="Times New Roman"/>
          <w:sz w:val="24"/>
          <w:szCs w:val="24"/>
          <w:shd w:val="clear" w:color="auto" w:fill="FFFFFF"/>
        </w:rPr>
        <w:t>DBHDS</w:t>
      </w:r>
      <w:r w:rsidRPr="00361164">
        <w:rPr>
          <w:rFonts w:ascii="Times New Roman" w:hAnsi="Times New Roman"/>
          <w:sz w:val="24"/>
          <w:szCs w:val="24"/>
          <w:shd w:val="clear" w:color="auto" w:fill="FFFFFF"/>
        </w:rPr>
        <w:t xml:space="preserve"> was able to release funding. </w:t>
      </w:r>
      <w:r w:rsidR="00795FF4">
        <w:rPr>
          <w:rFonts w:ascii="Times New Roman" w:hAnsi="Times New Roman"/>
          <w:sz w:val="24"/>
          <w:szCs w:val="24"/>
          <w:shd w:val="clear" w:color="auto" w:fill="FFFFFF"/>
        </w:rPr>
        <w:t xml:space="preserve">DBHDS will no longer use this data portal. </w:t>
      </w:r>
      <w:r w:rsidRPr="00361164">
        <w:rPr>
          <w:rFonts w:ascii="Times New Roman" w:hAnsi="Times New Roman"/>
          <w:sz w:val="24"/>
          <w:szCs w:val="24"/>
          <w:shd w:val="clear" w:color="auto" w:fill="FFFFFF"/>
        </w:rPr>
        <w:t>In the meantime, IFSP continued to support Virginians with DD and their families in FY 2022 through:</w:t>
      </w:r>
      <w:r w:rsidRPr="00361164">
        <w:rPr>
          <w:rFonts w:ascii="Times New Roman" w:hAnsi="Times New Roman"/>
          <w:sz w:val="24"/>
          <w:szCs w:val="24"/>
        </w:rPr>
        <w:t xml:space="preserve"> </w:t>
      </w:r>
    </w:p>
    <w:p w14:paraId="33662A3A" w14:textId="7CE2AD3F" w:rsidR="00092595" w:rsidRPr="00361164" w:rsidRDefault="00361164" w:rsidP="009054AA">
      <w:pPr>
        <w:pStyle w:val="NoSpacing"/>
        <w:numPr>
          <w:ilvl w:val="0"/>
          <w:numId w:val="25"/>
        </w:numPr>
        <w:ind w:left="540"/>
        <w:rPr>
          <w:rFonts w:ascii="Times New Roman" w:hAnsi="Times New Roman"/>
          <w:color w:val="000000" w:themeColor="text1"/>
          <w:sz w:val="24"/>
          <w:szCs w:val="24"/>
        </w:rPr>
      </w:pPr>
      <w:r>
        <w:rPr>
          <w:rFonts w:ascii="Times New Roman" w:hAnsi="Times New Roman"/>
          <w:color w:val="000000" w:themeColor="text1"/>
          <w:sz w:val="24"/>
          <w:szCs w:val="24"/>
        </w:rPr>
        <w:t>D</w:t>
      </w:r>
      <w:r w:rsidR="00092595" w:rsidRPr="00361164">
        <w:rPr>
          <w:rFonts w:ascii="Times New Roman" w:hAnsi="Times New Roman"/>
          <w:color w:val="000000" w:themeColor="text1"/>
          <w:sz w:val="24"/>
          <w:szCs w:val="24"/>
        </w:rPr>
        <w:t xml:space="preserve">istributed </w:t>
      </w:r>
      <w:r w:rsidR="00795FF4">
        <w:rPr>
          <w:rFonts w:ascii="Times New Roman" w:hAnsi="Times New Roman"/>
          <w:color w:val="000000" w:themeColor="text1"/>
          <w:sz w:val="24"/>
          <w:szCs w:val="24"/>
        </w:rPr>
        <w:t>$</w:t>
      </w:r>
      <w:r w:rsidR="00092595" w:rsidRPr="00361164">
        <w:rPr>
          <w:rFonts w:ascii="Times New Roman" w:hAnsi="Times New Roman"/>
          <w:color w:val="000000" w:themeColor="text1"/>
          <w:sz w:val="24"/>
          <w:szCs w:val="24"/>
        </w:rPr>
        <w:t xml:space="preserve">4,008,000 </w:t>
      </w:r>
      <w:r w:rsidR="00795FF4">
        <w:rPr>
          <w:rFonts w:ascii="Times New Roman" w:hAnsi="Times New Roman"/>
          <w:color w:val="000000" w:themeColor="text1"/>
          <w:sz w:val="24"/>
          <w:szCs w:val="24"/>
        </w:rPr>
        <w:t>t</w:t>
      </w:r>
      <w:r w:rsidR="00092595" w:rsidRPr="00361164">
        <w:rPr>
          <w:rFonts w:ascii="Times New Roman" w:hAnsi="Times New Roman"/>
          <w:color w:val="000000" w:themeColor="text1"/>
          <w:sz w:val="24"/>
          <w:szCs w:val="24"/>
        </w:rPr>
        <w:t>o applicants for supports through the funding program.</w:t>
      </w:r>
    </w:p>
    <w:p w14:paraId="716EB2FB" w14:textId="25B1DBB3" w:rsidR="00092595" w:rsidRPr="00361164" w:rsidRDefault="00795FF4" w:rsidP="009054AA">
      <w:pPr>
        <w:pStyle w:val="NoSpacing"/>
        <w:numPr>
          <w:ilvl w:val="0"/>
          <w:numId w:val="25"/>
        </w:numPr>
        <w:ind w:left="540"/>
        <w:rPr>
          <w:rFonts w:ascii="Times New Roman" w:hAnsi="Times New Roman"/>
          <w:color w:val="000000"/>
          <w:sz w:val="24"/>
          <w:szCs w:val="24"/>
        </w:rPr>
      </w:pPr>
      <w:r>
        <w:rPr>
          <w:rFonts w:ascii="Times New Roman" w:hAnsi="Times New Roman"/>
          <w:color w:val="000000" w:themeColor="text1"/>
          <w:sz w:val="24"/>
          <w:szCs w:val="24"/>
        </w:rPr>
        <w:t>W</w:t>
      </w:r>
      <w:r w:rsidR="00092595" w:rsidRPr="00361164">
        <w:rPr>
          <w:rFonts w:ascii="Times New Roman" w:hAnsi="Times New Roman"/>
          <w:color w:val="000000" w:themeColor="text1"/>
          <w:sz w:val="24"/>
          <w:szCs w:val="24"/>
        </w:rPr>
        <w:t xml:space="preserve">orked with the </w:t>
      </w:r>
      <w:proofErr w:type="spellStart"/>
      <w:r w:rsidR="00092595" w:rsidRPr="00361164">
        <w:rPr>
          <w:rFonts w:ascii="Times New Roman" w:hAnsi="Times New Roman"/>
          <w:color w:val="000000" w:themeColor="text1"/>
          <w:sz w:val="24"/>
          <w:szCs w:val="24"/>
        </w:rPr>
        <w:t>WaMS</w:t>
      </w:r>
      <w:proofErr w:type="spellEnd"/>
      <w:r w:rsidR="00092595" w:rsidRPr="00361164">
        <w:rPr>
          <w:rFonts w:ascii="Times New Roman" w:hAnsi="Times New Roman"/>
          <w:color w:val="000000" w:themeColor="text1"/>
          <w:sz w:val="24"/>
          <w:szCs w:val="24"/>
        </w:rPr>
        <w:t xml:space="preserve"> vendor to create a new IFSP portal</w:t>
      </w:r>
      <w:r>
        <w:rPr>
          <w:rFonts w:ascii="Times New Roman" w:hAnsi="Times New Roman"/>
          <w:color w:val="000000" w:themeColor="text1"/>
          <w:sz w:val="24"/>
          <w:szCs w:val="24"/>
        </w:rPr>
        <w:t>.</w:t>
      </w:r>
    </w:p>
    <w:p w14:paraId="4478423F" w14:textId="04D0242A" w:rsidR="00092595" w:rsidRDefault="00795FF4" w:rsidP="009054AA">
      <w:pPr>
        <w:pStyle w:val="NoSpacing"/>
        <w:numPr>
          <w:ilvl w:val="0"/>
          <w:numId w:val="25"/>
        </w:numPr>
        <w:ind w:left="540"/>
        <w:rPr>
          <w:b/>
          <w:bCs/>
          <w:i/>
          <w:iCs/>
        </w:rPr>
      </w:pPr>
      <w:r>
        <w:rPr>
          <w:rFonts w:ascii="Times New Roman" w:hAnsi="Times New Roman"/>
          <w:color w:val="000000"/>
          <w:sz w:val="24"/>
          <w:szCs w:val="24"/>
        </w:rPr>
        <w:t>O</w:t>
      </w:r>
      <w:r w:rsidR="00092595" w:rsidRPr="00361164">
        <w:rPr>
          <w:rFonts w:ascii="Times New Roman" w:hAnsi="Times New Roman"/>
          <w:color w:val="000000"/>
          <w:sz w:val="24"/>
          <w:szCs w:val="24"/>
        </w:rPr>
        <w:t>n September 10, 2021</w:t>
      </w:r>
      <w:r>
        <w:rPr>
          <w:rFonts w:ascii="Times New Roman" w:hAnsi="Times New Roman"/>
          <w:color w:val="000000"/>
          <w:sz w:val="24"/>
          <w:szCs w:val="24"/>
        </w:rPr>
        <w:t xml:space="preserve">, sent </w:t>
      </w:r>
      <w:r w:rsidR="00092595" w:rsidRPr="00361164">
        <w:rPr>
          <w:rFonts w:ascii="Times New Roman" w:hAnsi="Times New Roman"/>
          <w:color w:val="000000"/>
          <w:sz w:val="24"/>
          <w:szCs w:val="24"/>
        </w:rPr>
        <w:t xml:space="preserve">the </w:t>
      </w:r>
      <w:r>
        <w:rPr>
          <w:rFonts w:ascii="Times New Roman" w:hAnsi="Times New Roman"/>
          <w:color w:val="000000"/>
          <w:sz w:val="24"/>
          <w:szCs w:val="24"/>
        </w:rPr>
        <w:t>f</w:t>
      </w:r>
      <w:r w:rsidR="00092595" w:rsidRPr="00361164">
        <w:rPr>
          <w:rFonts w:ascii="Times New Roman" w:hAnsi="Times New Roman"/>
          <w:color w:val="000000"/>
          <w:sz w:val="24"/>
          <w:szCs w:val="24"/>
        </w:rPr>
        <w:t xml:space="preserve">unding announcement </w:t>
      </w:r>
      <w:r>
        <w:rPr>
          <w:rFonts w:ascii="Times New Roman" w:hAnsi="Times New Roman"/>
          <w:color w:val="000000"/>
          <w:sz w:val="24"/>
          <w:szCs w:val="24"/>
        </w:rPr>
        <w:t>to</w:t>
      </w:r>
      <w:r w:rsidR="00092595" w:rsidRPr="00361164">
        <w:rPr>
          <w:rFonts w:ascii="Times New Roman" w:hAnsi="Times New Roman"/>
          <w:color w:val="000000"/>
          <w:sz w:val="24"/>
          <w:szCs w:val="24"/>
        </w:rPr>
        <w:t xml:space="preserve"> </w:t>
      </w:r>
      <w:r w:rsidRPr="00361164">
        <w:rPr>
          <w:rFonts w:ascii="Times New Roman" w:hAnsi="Times New Roman"/>
          <w:color w:val="000000"/>
          <w:sz w:val="24"/>
          <w:szCs w:val="24"/>
        </w:rPr>
        <w:t>21,058</w:t>
      </w:r>
      <w:r>
        <w:rPr>
          <w:rFonts w:ascii="Times New Roman" w:hAnsi="Times New Roman"/>
          <w:color w:val="000000"/>
          <w:sz w:val="24"/>
          <w:szCs w:val="24"/>
        </w:rPr>
        <w:t xml:space="preserve"> people, including </w:t>
      </w:r>
      <w:r w:rsidR="00092595" w:rsidRPr="00361164">
        <w:rPr>
          <w:rFonts w:ascii="Times New Roman" w:hAnsi="Times New Roman"/>
          <w:color w:val="000000"/>
          <w:sz w:val="24"/>
          <w:szCs w:val="24"/>
        </w:rPr>
        <w:t xml:space="preserve">families, people on the FY </w:t>
      </w:r>
      <w:r>
        <w:rPr>
          <w:rFonts w:ascii="Times New Roman" w:hAnsi="Times New Roman"/>
          <w:color w:val="000000"/>
          <w:sz w:val="24"/>
          <w:szCs w:val="24"/>
        </w:rPr>
        <w:t>20</w:t>
      </w:r>
      <w:r w:rsidR="00092595" w:rsidRPr="00361164">
        <w:rPr>
          <w:rFonts w:ascii="Times New Roman" w:hAnsi="Times New Roman"/>
          <w:color w:val="000000"/>
          <w:sz w:val="24"/>
          <w:szCs w:val="24"/>
        </w:rPr>
        <w:t xml:space="preserve">22 Waiver Waiting List, and to </w:t>
      </w:r>
      <w:r>
        <w:rPr>
          <w:rFonts w:ascii="Times New Roman" w:hAnsi="Times New Roman"/>
          <w:color w:val="000000"/>
          <w:sz w:val="24"/>
          <w:szCs w:val="24"/>
        </w:rPr>
        <w:t>DD providers.</w:t>
      </w:r>
    </w:p>
    <w:p w14:paraId="54925728" w14:textId="4E57BF88" w:rsidR="00092595" w:rsidRPr="00E26CE7" w:rsidRDefault="00546B8D" w:rsidP="00F46923">
      <w:pPr>
        <w:rPr>
          <w:b/>
          <w:bCs/>
          <w:i/>
          <w:iCs/>
          <w:sz w:val="26"/>
          <w:szCs w:val="26"/>
        </w:rPr>
      </w:pPr>
      <w:r>
        <w:rPr>
          <w:b/>
          <w:bCs/>
          <w:i/>
          <w:iCs/>
        </w:rPr>
        <w:br/>
      </w:r>
      <w:r w:rsidR="00092595" w:rsidRPr="00E26CE7">
        <w:rPr>
          <w:b/>
          <w:bCs/>
          <w:i/>
          <w:iCs/>
          <w:sz w:val="26"/>
          <w:szCs w:val="26"/>
        </w:rPr>
        <w:t>Waiver Management System (</w:t>
      </w:r>
      <w:proofErr w:type="spellStart"/>
      <w:r w:rsidR="00092595" w:rsidRPr="00E26CE7">
        <w:rPr>
          <w:b/>
          <w:bCs/>
          <w:i/>
          <w:iCs/>
          <w:sz w:val="26"/>
          <w:szCs w:val="26"/>
        </w:rPr>
        <w:t>WaMS</w:t>
      </w:r>
      <w:proofErr w:type="spellEnd"/>
      <w:r w:rsidR="00092595" w:rsidRPr="00E26CE7">
        <w:rPr>
          <w:b/>
          <w:bCs/>
          <w:i/>
          <w:iCs/>
          <w:sz w:val="26"/>
          <w:szCs w:val="26"/>
        </w:rPr>
        <w:t xml:space="preserve">) </w:t>
      </w:r>
    </w:p>
    <w:p w14:paraId="0D26856E" w14:textId="3FD6C949" w:rsidR="00092595" w:rsidRPr="00B62B54" w:rsidRDefault="00092595" w:rsidP="00F46923">
      <w:pPr>
        <w:rPr>
          <w:color w:val="222222"/>
        </w:rPr>
      </w:pPr>
      <w:proofErr w:type="spellStart"/>
      <w:r w:rsidRPr="00B62B54">
        <w:rPr>
          <w:color w:val="222222"/>
        </w:rPr>
        <w:t>WaMS</w:t>
      </w:r>
      <w:proofErr w:type="spellEnd"/>
      <w:r w:rsidRPr="00B62B54">
        <w:rPr>
          <w:color w:val="222222"/>
        </w:rPr>
        <w:t xml:space="preserve"> </w:t>
      </w:r>
      <w:r>
        <w:rPr>
          <w:color w:val="222222"/>
        </w:rPr>
        <w:t xml:space="preserve">is the DBHDS waiver management system. </w:t>
      </w:r>
      <w:r w:rsidRPr="00B62B54">
        <w:rPr>
          <w:color w:val="222222"/>
        </w:rPr>
        <w:t>FY</w:t>
      </w:r>
      <w:r>
        <w:rPr>
          <w:color w:val="222222"/>
        </w:rPr>
        <w:t xml:space="preserve"> 2022</w:t>
      </w:r>
      <w:r w:rsidR="00361164">
        <w:rPr>
          <w:color w:val="222222"/>
        </w:rPr>
        <w:t xml:space="preserve"> updates included:</w:t>
      </w:r>
    </w:p>
    <w:p w14:paraId="19D99605" w14:textId="7A7A45DB" w:rsidR="00092595" w:rsidRPr="00B62B54" w:rsidRDefault="00092595" w:rsidP="009054AA">
      <w:pPr>
        <w:pStyle w:val="ListParagraph"/>
        <w:numPr>
          <w:ilvl w:val="0"/>
          <w:numId w:val="17"/>
        </w:numPr>
        <w:spacing w:after="0" w:line="240" w:lineRule="auto"/>
        <w:ind w:left="547"/>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Update to ISP (version 3.3) </w:t>
      </w:r>
      <w:r w:rsidRPr="00790EF0">
        <w:rPr>
          <w:rFonts w:ascii="Times New Roman" w:eastAsia="Times New Roman" w:hAnsi="Times New Roman"/>
          <w:color w:val="222222"/>
          <w:sz w:val="24"/>
          <w:szCs w:val="24"/>
        </w:rPr>
        <w:t xml:space="preserve">to enhance </w:t>
      </w:r>
      <w:r>
        <w:rPr>
          <w:rFonts w:ascii="Times New Roman" w:eastAsia="Times New Roman" w:hAnsi="Times New Roman"/>
          <w:color w:val="222222"/>
          <w:sz w:val="24"/>
          <w:szCs w:val="24"/>
        </w:rPr>
        <w:t>electronic health record</w:t>
      </w:r>
      <w:r w:rsidRPr="00790EF0">
        <w:rPr>
          <w:rFonts w:ascii="Times New Roman" w:eastAsia="Times New Roman" w:hAnsi="Times New Roman"/>
          <w:color w:val="222222"/>
          <w:sz w:val="24"/>
          <w:szCs w:val="24"/>
        </w:rPr>
        <w:t xml:space="preserve"> integration and to align with</w:t>
      </w:r>
      <w:r w:rsidRPr="00B62B54">
        <w:rPr>
          <w:rFonts w:ascii="Times New Roman" w:eastAsia="Times New Roman" w:hAnsi="Times New Roman"/>
          <w:color w:val="222222"/>
          <w:sz w:val="24"/>
          <w:szCs w:val="24"/>
        </w:rPr>
        <w:t xml:space="preserve"> DOJ compliance indicators</w:t>
      </w:r>
      <w:r>
        <w:rPr>
          <w:rFonts w:ascii="Times New Roman" w:eastAsia="Times New Roman" w:hAnsi="Times New Roman"/>
          <w:color w:val="222222"/>
          <w:sz w:val="24"/>
          <w:szCs w:val="24"/>
        </w:rPr>
        <w:t>.</w:t>
      </w:r>
    </w:p>
    <w:p w14:paraId="4B5CF51D" w14:textId="77777777" w:rsidR="00092595" w:rsidRPr="00B62B54" w:rsidRDefault="00092595" w:rsidP="009054AA">
      <w:pPr>
        <w:pStyle w:val="ListParagraph"/>
        <w:numPr>
          <w:ilvl w:val="0"/>
          <w:numId w:val="17"/>
        </w:numPr>
        <w:spacing w:after="0" w:line="240" w:lineRule="auto"/>
        <w:ind w:left="547"/>
        <w:rPr>
          <w:rFonts w:ascii="Times New Roman" w:eastAsia="Times New Roman" w:hAnsi="Times New Roman"/>
          <w:color w:val="222222"/>
          <w:sz w:val="24"/>
          <w:szCs w:val="24"/>
        </w:rPr>
      </w:pPr>
      <w:r>
        <w:rPr>
          <w:rFonts w:ascii="Times New Roman" w:eastAsia="Times New Roman" w:hAnsi="Times New Roman"/>
          <w:color w:val="222222"/>
          <w:sz w:val="24"/>
          <w:szCs w:val="24"/>
        </w:rPr>
        <w:t>New integration with DMAS core management solution (CRMS) – S</w:t>
      </w:r>
      <w:r w:rsidRPr="00B62B54">
        <w:rPr>
          <w:rFonts w:ascii="Times New Roman" w:eastAsia="Times New Roman" w:hAnsi="Times New Roman"/>
          <w:color w:val="222222"/>
          <w:sz w:val="24"/>
          <w:szCs w:val="24"/>
        </w:rPr>
        <w:t xml:space="preserve">upport the new interface between </w:t>
      </w:r>
      <w:proofErr w:type="spellStart"/>
      <w:r w:rsidRPr="00B62B54">
        <w:rPr>
          <w:rFonts w:ascii="Times New Roman" w:eastAsia="Times New Roman" w:hAnsi="Times New Roman"/>
          <w:color w:val="222222"/>
          <w:sz w:val="24"/>
          <w:szCs w:val="24"/>
        </w:rPr>
        <w:t>WaMS</w:t>
      </w:r>
      <w:proofErr w:type="spellEnd"/>
      <w:r w:rsidRPr="00B62B54">
        <w:rPr>
          <w:rFonts w:ascii="Times New Roman" w:eastAsia="Times New Roman" w:hAnsi="Times New Roman"/>
          <w:color w:val="222222"/>
          <w:sz w:val="24"/>
          <w:szCs w:val="24"/>
        </w:rPr>
        <w:t xml:space="preserve"> and </w:t>
      </w:r>
      <w:r>
        <w:rPr>
          <w:rFonts w:ascii="Times New Roman" w:eastAsia="Times New Roman" w:hAnsi="Times New Roman"/>
          <w:color w:val="222222"/>
          <w:sz w:val="24"/>
          <w:szCs w:val="24"/>
        </w:rPr>
        <w:t xml:space="preserve">DMAS’ CRMS module for the </w:t>
      </w:r>
      <w:r w:rsidRPr="00B62B54">
        <w:rPr>
          <w:rFonts w:ascii="Times New Roman" w:eastAsia="Times New Roman" w:hAnsi="Times New Roman"/>
          <w:color w:val="222222"/>
          <w:sz w:val="24"/>
          <w:szCs w:val="24"/>
        </w:rPr>
        <w:t>Medicaid E</w:t>
      </w:r>
      <w:r>
        <w:rPr>
          <w:rFonts w:ascii="Times New Roman" w:eastAsia="Times New Roman" w:hAnsi="Times New Roman"/>
          <w:color w:val="222222"/>
          <w:sz w:val="24"/>
          <w:szCs w:val="24"/>
        </w:rPr>
        <w:t>nterprise System.</w:t>
      </w:r>
    </w:p>
    <w:p w14:paraId="48343552" w14:textId="2130B4E1" w:rsidR="00092595" w:rsidRPr="00B62B54" w:rsidRDefault="00092595" w:rsidP="009054AA">
      <w:pPr>
        <w:pStyle w:val="ListParagraph"/>
        <w:numPr>
          <w:ilvl w:val="0"/>
          <w:numId w:val="17"/>
        </w:numPr>
        <w:spacing w:after="0" w:line="240" w:lineRule="auto"/>
        <w:ind w:left="547"/>
        <w:rPr>
          <w:rFonts w:ascii="Times New Roman" w:eastAsia="Times New Roman" w:hAnsi="Times New Roman"/>
          <w:color w:val="222222"/>
          <w:sz w:val="24"/>
          <w:szCs w:val="24"/>
        </w:rPr>
      </w:pPr>
      <w:r>
        <w:rPr>
          <w:rFonts w:ascii="Times New Roman" w:eastAsia="Times New Roman" w:hAnsi="Times New Roman"/>
          <w:color w:val="222222"/>
          <w:sz w:val="24"/>
          <w:szCs w:val="24"/>
        </w:rPr>
        <w:t>Finalize</w:t>
      </w:r>
      <w:r w:rsidR="00361164">
        <w:rPr>
          <w:rFonts w:ascii="Times New Roman" w:eastAsia="Times New Roman" w:hAnsi="Times New Roman"/>
          <w:color w:val="222222"/>
          <w:sz w:val="24"/>
          <w:szCs w:val="24"/>
        </w:rPr>
        <w:t>d</w:t>
      </w:r>
      <w:r>
        <w:rPr>
          <w:rFonts w:ascii="Times New Roman" w:eastAsia="Times New Roman" w:hAnsi="Times New Roman"/>
          <w:color w:val="222222"/>
          <w:sz w:val="24"/>
          <w:szCs w:val="24"/>
        </w:rPr>
        <w:t xml:space="preserve"> </w:t>
      </w:r>
      <w:r w:rsidR="00361164">
        <w:rPr>
          <w:rFonts w:ascii="Times New Roman" w:eastAsia="Times New Roman" w:hAnsi="Times New Roman"/>
          <w:color w:val="222222"/>
          <w:sz w:val="24"/>
          <w:szCs w:val="24"/>
        </w:rPr>
        <w:t>r</w:t>
      </w:r>
      <w:r>
        <w:rPr>
          <w:rFonts w:ascii="Times New Roman" w:eastAsia="Times New Roman" w:hAnsi="Times New Roman"/>
          <w:color w:val="222222"/>
          <w:sz w:val="24"/>
          <w:szCs w:val="24"/>
        </w:rPr>
        <w:t xml:space="preserve">egional </w:t>
      </w:r>
      <w:r w:rsidR="00361164">
        <w:rPr>
          <w:rFonts w:ascii="Times New Roman" w:eastAsia="Times New Roman" w:hAnsi="Times New Roman"/>
          <w:color w:val="222222"/>
          <w:sz w:val="24"/>
          <w:szCs w:val="24"/>
        </w:rPr>
        <w:t>s</w:t>
      </w:r>
      <w:r>
        <w:rPr>
          <w:rFonts w:ascii="Times New Roman" w:eastAsia="Times New Roman" w:hAnsi="Times New Roman"/>
          <w:color w:val="222222"/>
          <w:sz w:val="24"/>
          <w:szCs w:val="24"/>
        </w:rPr>
        <w:t xml:space="preserve">upport </w:t>
      </w:r>
      <w:r w:rsidR="00361164">
        <w:rPr>
          <w:rFonts w:ascii="Times New Roman" w:eastAsia="Times New Roman" w:hAnsi="Times New Roman"/>
          <w:color w:val="222222"/>
          <w:sz w:val="24"/>
          <w:szCs w:val="24"/>
        </w:rPr>
        <w:t>t</w:t>
      </w:r>
      <w:r>
        <w:rPr>
          <w:rFonts w:ascii="Times New Roman" w:eastAsia="Times New Roman" w:hAnsi="Times New Roman"/>
          <w:color w:val="222222"/>
          <w:sz w:val="24"/>
          <w:szCs w:val="24"/>
        </w:rPr>
        <w:t xml:space="preserve">eam development in </w:t>
      </w:r>
      <w:proofErr w:type="spellStart"/>
      <w:r>
        <w:rPr>
          <w:rFonts w:ascii="Times New Roman" w:eastAsia="Times New Roman" w:hAnsi="Times New Roman"/>
          <w:color w:val="222222"/>
          <w:sz w:val="24"/>
          <w:szCs w:val="24"/>
        </w:rPr>
        <w:t>WaMS</w:t>
      </w:r>
      <w:proofErr w:type="spellEnd"/>
      <w:r>
        <w:rPr>
          <w:rFonts w:ascii="Times New Roman" w:eastAsia="Times New Roman" w:hAnsi="Times New Roman"/>
          <w:color w:val="222222"/>
          <w:sz w:val="24"/>
          <w:szCs w:val="24"/>
        </w:rPr>
        <w:t xml:space="preserve"> to automate this process and data.</w:t>
      </w:r>
    </w:p>
    <w:p w14:paraId="15EE7830" w14:textId="77777777" w:rsidR="00092595" w:rsidRPr="00B62B54" w:rsidRDefault="00092595" w:rsidP="00F46923">
      <w:pPr>
        <w:rPr>
          <w:color w:val="222222"/>
        </w:rPr>
      </w:pPr>
    </w:p>
    <w:p w14:paraId="78858467" w14:textId="77777777" w:rsidR="00092595" w:rsidRPr="00E26CE7" w:rsidRDefault="00092595" w:rsidP="00F46923">
      <w:pPr>
        <w:rPr>
          <w:b/>
          <w:bCs/>
          <w:i/>
          <w:iCs/>
          <w:sz w:val="26"/>
          <w:szCs w:val="26"/>
        </w:rPr>
      </w:pPr>
      <w:r w:rsidRPr="00E26CE7">
        <w:rPr>
          <w:b/>
          <w:bCs/>
          <w:i/>
          <w:iCs/>
          <w:sz w:val="26"/>
          <w:szCs w:val="26"/>
        </w:rPr>
        <w:t>Single Point of Entry and Children’s ICF Initiatives</w:t>
      </w:r>
    </w:p>
    <w:p w14:paraId="7226821D" w14:textId="77777777" w:rsidR="00361164" w:rsidRDefault="00092595" w:rsidP="00361164">
      <w:r w:rsidRPr="00361164">
        <w:t xml:space="preserve">DBHDS, along with DMAS, began the single point of entry process in May 2018. Through this process, any Virginian seeking placement in an intermediate care facility (ICF) is screened utilizing the Virginia Individual DD Eligibility Survey (VIDES) to determine eligibility. </w:t>
      </w:r>
    </w:p>
    <w:p w14:paraId="33C66673" w14:textId="77777777" w:rsidR="00361164" w:rsidRPr="00361164" w:rsidRDefault="00092595" w:rsidP="009054AA">
      <w:pPr>
        <w:pStyle w:val="ListParagraph"/>
        <w:numPr>
          <w:ilvl w:val="0"/>
          <w:numId w:val="17"/>
        </w:numPr>
        <w:spacing w:after="0" w:line="240" w:lineRule="auto"/>
        <w:ind w:left="547"/>
        <w:rPr>
          <w:rFonts w:ascii="Times New Roman" w:eastAsia="Times New Roman" w:hAnsi="Times New Roman"/>
          <w:color w:val="222222"/>
          <w:sz w:val="24"/>
          <w:szCs w:val="24"/>
        </w:rPr>
      </w:pPr>
      <w:r w:rsidRPr="00361164">
        <w:rPr>
          <w:rFonts w:ascii="Times New Roman" w:hAnsi="Times New Roman"/>
          <w:sz w:val="24"/>
          <w:szCs w:val="24"/>
        </w:rPr>
        <w:t>47 Virginians were screened for ICF/IID placement</w:t>
      </w:r>
      <w:r w:rsidR="00361164" w:rsidRPr="00361164">
        <w:rPr>
          <w:rFonts w:ascii="Times New Roman" w:hAnsi="Times New Roman"/>
          <w:sz w:val="24"/>
          <w:szCs w:val="24"/>
        </w:rPr>
        <w:t xml:space="preserve"> (</w:t>
      </w:r>
      <w:r w:rsidRPr="00361164">
        <w:rPr>
          <w:rFonts w:ascii="Times New Roman" w:hAnsi="Times New Roman"/>
          <w:sz w:val="24"/>
          <w:szCs w:val="24"/>
        </w:rPr>
        <w:t>28 adults and 19 children</w:t>
      </w:r>
      <w:r w:rsidR="00361164" w:rsidRPr="00361164">
        <w:rPr>
          <w:rFonts w:ascii="Times New Roman" w:hAnsi="Times New Roman"/>
          <w:sz w:val="24"/>
          <w:szCs w:val="24"/>
        </w:rPr>
        <w:t>).</w:t>
      </w:r>
    </w:p>
    <w:p w14:paraId="31129031" w14:textId="6D5A5702" w:rsidR="00092595" w:rsidRPr="0042093A" w:rsidRDefault="00092595" w:rsidP="009054AA">
      <w:pPr>
        <w:pStyle w:val="ListParagraph"/>
        <w:numPr>
          <w:ilvl w:val="0"/>
          <w:numId w:val="17"/>
        </w:numPr>
        <w:spacing w:after="0" w:line="240" w:lineRule="auto"/>
        <w:ind w:left="547"/>
        <w:rPr>
          <w:rFonts w:ascii="Times New Roman" w:eastAsia="Times New Roman" w:hAnsi="Times New Roman"/>
          <w:sz w:val="24"/>
          <w:szCs w:val="24"/>
        </w:rPr>
      </w:pPr>
      <w:r w:rsidRPr="00361164">
        <w:rPr>
          <w:rFonts w:ascii="Times New Roman" w:hAnsi="Times New Roman"/>
          <w:color w:val="242424"/>
          <w:sz w:val="24"/>
          <w:szCs w:val="24"/>
        </w:rPr>
        <w:lastRenderedPageBreak/>
        <w:t xml:space="preserve">The Children’s ICF </w:t>
      </w:r>
      <w:r w:rsidR="00361164" w:rsidRPr="00361164">
        <w:rPr>
          <w:rFonts w:ascii="Times New Roman" w:hAnsi="Times New Roman"/>
          <w:color w:val="242424"/>
          <w:sz w:val="24"/>
          <w:szCs w:val="24"/>
        </w:rPr>
        <w:t>i</w:t>
      </w:r>
      <w:r w:rsidRPr="00361164">
        <w:rPr>
          <w:rFonts w:ascii="Times New Roman" w:hAnsi="Times New Roman"/>
          <w:color w:val="242424"/>
          <w:sz w:val="24"/>
          <w:szCs w:val="24"/>
        </w:rPr>
        <w:t>nitiative</w:t>
      </w:r>
      <w:r w:rsidRPr="00361164">
        <w:rPr>
          <w:rFonts w:ascii="Times New Roman" w:hAnsi="Times New Roman"/>
          <w:b/>
          <w:bCs/>
          <w:color w:val="242424"/>
          <w:sz w:val="24"/>
          <w:szCs w:val="24"/>
        </w:rPr>
        <w:t> </w:t>
      </w:r>
      <w:r w:rsidRPr="00361164">
        <w:rPr>
          <w:rFonts w:ascii="Times New Roman" w:hAnsi="Times New Roman"/>
          <w:color w:val="242424"/>
          <w:sz w:val="24"/>
          <w:szCs w:val="24"/>
        </w:rPr>
        <w:t xml:space="preserve">mainly focuses on Holiday House of Portsmouth and St. </w:t>
      </w:r>
      <w:r w:rsidRPr="0042093A">
        <w:rPr>
          <w:rFonts w:ascii="Times New Roman" w:hAnsi="Times New Roman"/>
          <w:sz w:val="24"/>
          <w:szCs w:val="24"/>
        </w:rPr>
        <w:t xml:space="preserve">Mary’s Home. </w:t>
      </w:r>
      <w:r w:rsidR="00361164" w:rsidRPr="0042093A">
        <w:rPr>
          <w:rFonts w:ascii="Times New Roman" w:hAnsi="Times New Roman"/>
          <w:sz w:val="24"/>
          <w:szCs w:val="24"/>
        </w:rPr>
        <w:t>DBHDS</w:t>
      </w:r>
      <w:r w:rsidRPr="0042093A">
        <w:rPr>
          <w:rFonts w:ascii="Times New Roman" w:hAnsi="Times New Roman"/>
          <w:sz w:val="24"/>
          <w:szCs w:val="24"/>
        </w:rPr>
        <w:t xml:space="preserve"> conducts annual level of care reviews for all residents, educates families on more integrated options, and participates in discharge planning efforts.</w:t>
      </w:r>
    </w:p>
    <w:p w14:paraId="3032646B" w14:textId="77777777" w:rsidR="00092595" w:rsidRPr="0042093A" w:rsidRDefault="00092595" w:rsidP="009054AA">
      <w:pPr>
        <w:pStyle w:val="ListParagraph"/>
        <w:numPr>
          <w:ilvl w:val="0"/>
          <w:numId w:val="24"/>
        </w:numPr>
        <w:spacing w:after="160" w:line="240" w:lineRule="auto"/>
        <w:ind w:left="1080"/>
        <w:rPr>
          <w:rFonts w:ascii="Times New Roman" w:hAnsi="Times New Roman"/>
          <w:sz w:val="24"/>
          <w:szCs w:val="24"/>
        </w:rPr>
      </w:pPr>
      <w:r w:rsidRPr="0042093A">
        <w:rPr>
          <w:rFonts w:ascii="Times New Roman" w:hAnsi="Times New Roman"/>
          <w:sz w:val="24"/>
          <w:szCs w:val="24"/>
        </w:rPr>
        <w:t>217 Community Transition Guides were emailed/mailed.  Additional guides were provided per request.</w:t>
      </w:r>
    </w:p>
    <w:p w14:paraId="184334B1" w14:textId="77777777" w:rsidR="00092595" w:rsidRPr="0042093A" w:rsidRDefault="00092595" w:rsidP="009054AA">
      <w:pPr>
        <w:pStyle w:val="ListParagraph"/>
        <w:numPr>
          <w:ilvl w:val="0"/>
          <w:numId w:val="24"/>
        </w:numPr>
        <w:spacing w:after="160" w:line="240" w:lineRule="auto"/>
        <w:ind w:left="1080"/>
        <w:rPr>
          <w:rFonts w:ascii="Times New Roman" w:hAnsi="Times New Roman"/>
          <w:sz w:val="24"/>
          <w:szCs w:val="24"/>
        </w:rPr>
      </w:pPr>
      <w:r w:rsidRPr="0042093A">
        <w:rPr>
          <w:rFonts w:ascii="Times New Roman" w:hAnsi="Times New Roman"/>
          <w:sz w:val="24"/>
          <w:szCs w:val="24"/>
        </w:rPr>
        <w:t>34 families were linked to VCU Family to Family Network</w:t>
      </w:r>
    </w:p>
    <w:p w14:paraId="405BB4BA" w14:textId="38FD7222" w:rsidR="00092595" w:rsidRPr="0042093A" w:rsidRDefault="00361164" w:rsidP="009054AA">
      <w:pPr>
        <w:pStyle w:val="ListParagraph"/>
        <w:numPr>
          <w:ilvl w:val="0"/>
          <w:numId w:val="24"/>
        </w:numPr>
        <w:spacing w:after="160" w:line="240" w:lineRule="auto"/>
        <w:ind w:left="1080"/>
        <w:rPr>
          <w:rFonts w:ascii="Times New Roman" w:hAnsi="Times New Roman"/>
          <w:sz w:val="24"/>
          <w:szCs w:val="24"/>
        </w:rPr>
      </w:pPr>
      <w:r w:rsidRPr="0042093A">
        <w:rPr>
          <w:rFonts w:ascii="Times New Roman" w:hAnsi="Times New Roman"/>
          <w:sz w:val="24"/>
          <w:szCs w:val="24"/>
          <w:shd w:val="clear" w:color="auto" w:fill="FFFFFF"/>
        </w:rPr>
        <w:t>P</w:t>
      </w:r>
      <w:r w:rsidR="00092595" w:rsidRPr="0042093A">
        <w:rPr>
          <w:rFonts w:ascii="Times New Roman" w:hAnsi="Times New Roman"/>
          <w:sz w:val="24"/>
          <w:szCs w:val="24"/>
          <w:shd w:val="clear" w:color="auto" w:fill="FFFFFF"/>
        </w:rPr>
        <w:t xml:space="preserve">articipated in the transition/discharge planning process for children at Holiday House and St. Mary’s Home. </w:t>
      </w:r>
    </w:p>
    <w:p w14:paraId="42ECBCDC" w14:textId="600A1F1E" w:rsidR="00600517" w:rsidRPr="003C441C" w:rsidRDefault="00092595" w:rsidP="00084C7C">
      <w:pPr>
        <w:pStyle w:val="paragraph"/>
        <w:shd w:val="clear" w:color="auto" w:fill="FFFFFF"/>
        <w:spacing w:before="0" w:beforeAutospacing="0" w:after="0" w:afterAutospacing="0"/>
        <w:textAlignment w:val="baseline"/>
        <w:rPr>
          <w:rStyle w:val="normaltextrun"/>
          <w:b/>
          <w:bCs/>
          <w:color w:val="00B050"/>
        </w:rPr>
      </w:pPr>
      <w:r w:rsidRPr="0042093A">
        <w:rPr>
          <w:i/>
          <w:iCs/>
          <w:sz w:val="16"/>
          <w:szCs w:val="16"/>
        </w:rPr>
        <w:br/>
      </w:r>
      <w:bookmarkEnd w:id="7"/>
    </w:p>
    <w:p w14:paraId="5E335DA3" w14:textId="77777777" w:rsidR="004143F0" w:rsidRDefault="004143F0" w:rsidP="00F46923">
      <w:pPr>
        <w:textAlignment w:val="baseline"/>
        <w:rPr>
          <w:b/>
          <w:sz w:val="2"/>
          <w:szCs w:val="2"/>
        </w:rPr>
      </w:pPr>
      <w:bookmarkStart w:id="8" w:name="DBHDS_Facilities"/>
    </w:p>
    <w:p w14:paraId="2D37E3AB" w14:textId="77777777" w:rsidR="004143F0" w:rsidRDefault="004143F0" w:rsidP="00F46923">
      <w:pPr>
        <w:textAlignment w:val="baseline"/>
        <w:rPr>
          <w:b/>
          <w:sz w:val="2"/>
          <w:szCs w:val="2"/>
        </w:rPr>
      </w:pPr>
    </w:p>
    <w:p w14:paraId="340AAA32" w14:textId="77777777" w:rsidR="004143F0" w:rsidRDefault="004143F0" w:rsidP="00F46923">
      <w:pPr>
        <w:textAlignment w:val="baseline"/>
        <w:rPr>
          <w:b/>
          <w:sz w:val="2"/>
          <w:szCs w:val="2"/>
        </w:rPr>
      </w:pPr>
    </w:p>
    <w:p w14:paraId="6B0EBBA4" w14:textId="77777777" w:rsidR="004143F0" w:rsidRDefault="004143F0" w:rsidP="00F46923">
      <w:pPr>
        <w:textAlignment w:val="baseline"/>
        <w:rPr>
          <w:b/>
          <w:sz w:val="2"/>
          <w:szCs w:val="2"/>
        </w:rPr>
      </w:pPr>
    </w:p>
    <w:p w14:paraId="7606F1DE" w14:textId="77777777" w:rsidR="00E26CE7" w:rsidRDefault="00E26CE7" w:rsidP="00F46923">
      <w:pPr>
        <w:textAlignment w:val="baseline"/>
        <w:rPr>
          <w:b/>
          <w:sz w:val="36"/>
          <w:szCs w:val="36"/>
        </w:rPr>
      </w:pPr>
    </w:p>
    <w:p w14:paraId="3442D2ED" w14:textId="25457E31" w:rsidR="00072DAB" w:rsidRPr="00084C7C" w:rsidRDefault="00072DAB" w:rsidP="00F46923">
      <w:pPr>
        <w:textAlignment w:val="baseline"/>
        <w:rPr>
          <w:b/>
          <w:sz w:val="36"/>
          <w:szCs w:val="36"/>
        </w:rPr>
      </w:pPr>
      <w:r w:rsidRPr="00084C7C">
        <w:rPr>
          <w:b/>
          <w:sz w:val="36"/>
          <w:szCs w:val="36"/>
        </w:rPr>
        <w:t>Facility Services</w:t>
      </w:r>
    </w:p>
    <w:p w14:paraId="02A2955C" w14:textId="77777777" w:rsidR="00072DAB" w:rsidRPr="00BA12D9" w:rsidRDefault="00072DAB" w:rsidP="00F46923">
      <w:pPr>
        <w:pStyle w:val="NormalWeb"/>
        <w:shd w:val="clear" w:color="auto" w:fill="FFFFFF"/>
        <w:spacing w:before="0" w:beforeAutospacing="0" w:after="0" w:afterAutospacing="0"/>
        <w:textAlignment w:val="baseline"/>
        <w:rPr>
          <w:b/>
          <w:color w:val="222222"/>
          <w:sz w:val="28"/>
          <w:szCs w:val="28"/>
        </w:rPr>
      </w:pPr>
    </w:p>
    <w:bookmarkEnd w:id="8"/>
    <w:p w14:paraId="1BAA2495" w14:textId="2FE76D21" w:rsidR="005E7165" w:rsidRDefault="005E7165" w:rsidP="00F46923">
      <w:pPr>
        <w:pStyle w:val="NormalWeb"/>
        <w:shd w:val="clear" w:color="auto" w:fill="FFFFFF"/>
        <w:spacing w:before="0" w:beforeAutospacing="0" w:after="0" w:afterAutospacing="0"/>
        <w:textAlignment w:val="baseline"/>
        <w:rPr>
          <w:b/>
          <w:i/>
          <w:color w:val="222222"/>
        </w:rPr>
      </w:pPr>
      <w:r w:rsidRPr="003B669E">
        <w:rPr>
          <w:b/>
          <w:i/>
          <w:color w:val="222222"/>
        </w:rPr>
        <w:t>COVID -19 Response</w:t>
      </w:r>
    </w:p>
    <w:p w14:paraId="3509CED7" w14:textId="2214FB1A" w:rsidR="000919BD" w:rsidRDefault="00FE1780" w:rsidP="005322E4">
      <w:pPr>
        <w:pStyle w:val="NormalWeb"/>
        <w:shd w:val="clear" w:color="auto" w:fill="FFFFFF" w:themeFill="background1"/>
        <w:spacing w:before="0" w:beforeAutospacing="0" w:after="0" w:afterAutospacing="0"/>
        <w:textAlignment w:val="baseline"/>
      </w:pPr>
      <w:r>
        <w:t>The pandemic and critical staffing shortages greatly affected all 12 of the DBHDS-operated facilities in FY 2022</w:t>
      </w:r>
      <w:r w:rsidRPr="001C3A26">
        <w:t xml:space="preserve">. </w:t>
      </w:r>
      <w:r w:rsidR="000919BD">
        <w:t xml:space="preserve">Implementation of limited visitation, infection control protocols, use of personal protective equipment, testing and vaccination/booster strategies, as well as ongoing consultation with the Virginia Department of Health </w:t>
      </w:r>
      <w:r>
        <w:t>(V</w:t>
      </w:r>
      <w:r w:rsidR="005322E4">
        <w:t>DH</w:t>
      </w:r>
      <w:r>
        <w:t xml:space="preserve">) </w:t>
      </w:r>
      <w:r w:rsidR="000919BD">
        <w:t xml:space="preserve">were critical to continuing facility operations. </w:t>
      </w:r>
      <w:r w:rsidR="005A4FCC">
        <w:t>A</w:t>
      </w:r>
      <w:r w:rsidR="000919BD">
        <w:t>dmissions and visitation at the state facilities</w:t>
      </w:r>
      <w:r w:rsidR="005A4FCC">
        <w:t xml:space="preserve"> continued to be impacted</w:t>
      </w:r>
      <w:r w:rsidR="000919BD">
        <w:t xml:space="preserve">. For much of the past </w:t>
      </w:r>
      <w:r w:rsidR="005A4FCC">
        <w:t xml:space="preserve">fiscal </w:t>
      </w:r>
      <w:r w:rsidR="000919BD">
        <w:t xml:space="preserve">year, all civil admissions were required to have a </w:t>
      </w:r>
      <w:r>
        <w:t xml:space="preserve">negative </w:t>
      </w:r>
      <w:r w:rsidR="000919BD">
        <w:t xml:space="preserve">COVID-19 test prior to admission to a state facility. Forensic admissions continued throughout the pandemic, and testing was strongly encouraged in situations where it could be obtained. </w:t>
      </w:r>
      <w:proofErr w:type="gramStart"/>
      <w:r w:rsidR="000919BD">
        <w:t>All of</w:t>
      </w:r>
      <w:proofErr w:type="gramEnd"/>
      <w:r w:rsidR="000919BD">
        <w:t xml:space="preserve"> these admissions were tested, quarantined, and monitored according to </w:t>
      </w:r>
      <w:r>
        <w:t xml:space="preserve">DBHDS </w:t>
      </w:r>
      <w:r w:rsidR="000919BD">
        <w:t xml:space="preserve">guidelines based on </w:t>
      </w:r>
      <w:r>
        <w:t xml:space="preserve">U.S. Centers for Disease Control &amp; Prevention and </w:t>
      </w:r>
      <w:r w:rsidR="000919BD">
        <w:t xml:space="preserve">VDH guidance. All facilities </w:t>
      </w:r>
      <w:r>
        <w:t xml:space="preserve">had continued COVID-19 outbreaks during the fiscal year and </w:t>
      </w:r>
      <w:r w:rsidR="000919BD">
        <w:t xml:space="preserve">continued to </w:t>
      </w:r>
      <w:r>
        <w:t>implement quarantine</w:t>
      </w:r>
      <w:r w:rsidR="000919BD">
        <w:t xml:space="preserve"> units as needed. DBHDS facilities worked closely with </w:t>
      </w:r>
      <w:r w:rsidR="005322E4">
        <w:t>VDH</w:t>
      </w:r>
      <w:r w:rsidR="000919BD">
        <w:t xml:space="preserve"> to </w:t>
      </w:r>
      <w:r w:rsidR="005A4FCC">
        <w:t>implement plans</w:t>
      </w:r>
      <w:r w:rsidR="000919BD">
        <w:t xml:space="preserve"> to manage each of these outbreaks. </w:t>
      </w:r>
    </w:p>
    <w:p w14:paraId="36CEF74A" w14:textId="77777777" w:rsidR="000919BD" w:rsidRPr="001C3A26" w:rsidRDefault="000919BD" w:rsidP="000919BD">
      <w:pPr>
        <w:pStyle w:val="NormalWeb"/>
        <w:shd w:val="clear" w:color="auto" w:fill="FFFFFF"/>
        <w:spacing w:before="0" w:beforeAutospacing="0" w:after="0" w:afterAutospacing="0"/>
        <w:textAlignment w:val="baseline"/>
        <w:rPr>
          <w:color w:val="222222"/>
        </w:rPr>
      </w:pPr>
    </w:p>
    <w:p w14:paraId="069C961B" w14:textId="62AE0C5C" w:rsidR="000919BD" w:rsidRPr="00E26CE7" w:rsidRDefault="000919BD" w:rsidP="000919BD">
      <w:pPr>
        <w:pStyle w:val="paragraph"/>
        <w:spacing w:before="0" w:beforeAutospacing="0" w:after="0" w:afterAutospacing="0"/>
        <w:textAlignment w:val="baseline"/>
        <w:rPr>
          <w:rStyle w:val="normaltextrun"/>
          <w:b/>
          <w:i/>
          <w:sz w:val="26"/>
          <w:szCs w:val="26"/>
        </w:rPr>
      </w:pPr>
      <w:r w:rsidRPr="00E26CE7">
        <w:rPr>
          <w:rStyle w:val="normaltextrun"/>
          <w:b/>
          <w:i/>
          <w:sz w:val="26"/>
          <w:szCs w:val="26"/>
        </w:rPr>
        <w:t>State Mental Health Hospital</w:t>
      </w:r>
      <w:r w:rsidR="00895E95" w:rsidRPr="00E26CE7">
        <w:rPr>
          <w:rStyle w:val="normaltextrun"/>
          <w:b/>
          <w:i/>
          <w:sz w:val="26"/>
          <w:szCs w:val="26"/>
        </w:rPr>
        <w:t xml:space="preserve"> Staffing Crisis</w:t>
      </w:r>
    </w:p>
    <w:p w14:paraId="23F75705" w14:textId="2A72FEDC" w:rsidR="000919BD" w:rsidRPr="005A4FCC" w:rsidRDefault="000919BD" w:rsidP="000919BD">
      <w:pPr>
        <w:pStyle w:val="paragraph"/>
        <w:spacing w:before="0" w:beforeAutospacing="0" w:after="0" w:afterAutospacing="0"/>
        <w:textAlignment w:val="baseline"/>
        <w:rPr>
          <w:rFonts w:eastAsiaTheme="minorEastAsia"/>
          <w:kern w:val="24"/>
        </w:rPr>
      </w:pPr>
      <w:r>
        <w:rPr>
          <w:rStyle w:val="normaltextrun"/>
        </w:rPr>
        <w:t xml:space="preserve">DBHDS state </w:t>
      </w:r>
      <w:r w:rsidRPr="001C3A26">
        <w:rPr>
          <w:rStyle w:val="normaltextrun"/>
        </w:rPr>
        <w:t>hospitals have been operating at census</w:t>
      </w:r>
      <w:r>
        <w:rPr>
          <w:rStyle w:val="normaltextrun"/>
        </w:rPr>
        <w:t xml:space="preserve"> capacity</w:t>
      </w:r>
      <w:r w:rsidRPr="001C3A26">
        <w:rPr>
          <w:rStyle w:val="normaltextrun"/>
        </w:rPr>
        <w:t xml:space="preserve"> level since 2014 due to</w:t>
      </w:r>
      <w:r>
        <w:rPr>
          <w:rStyle w:val="normaltextrun"/>
        </w:rPr>
        <w:t xml:space="preserve"> increasing obligations under §</w:t>
      </w:r>
      <w:r w:rsidRPr="001C3A26">
        <w:rPr>
          <w:rStyle w:val="normaltextrun"/>
        </w:rPr>
        <w:t xml:space="preserve">37.2-809, the “Bed of Last Resort” statute. During FY </w:t>
      </w:r>
      <w:r>
        <w:rPr>
          <w:rStyle w:val="normaltextrun"/>
        </w:rPr>
        <w:t>20</w:t>
      </w:r>
      <w:r w:rsidRPr="001C3A26">
        <w:rPr>
          <w:rStyle w:val="normaltextrun"/>
        </w:rPr>
        <w:t>22, s</w:t>
      </w:r>
      <w:r w:rsidRPr="5F6412D5">
        <w:rPr>
          <w:rFonts w:eastAsiaTheme="minorEastAsia"/>
          <w:kern w:val="24"/>
        </w:rPr>
        <w:t xml:space="preserve">tate hospitals experienced one of the most challenging periods in recent years with critical census and staffing levels across the system.  </w:t>
      </w:r>
    </w:p>
    <w:p w14:paraId="62D21722" w14:textId="27E17855" w:rsidR="000919BD" w:rsidRPr="00895E95" w:rsidRDefault="000919BD" w:rsidP="009054AA">
      <w:pPr>
        <w:pStyle w:val="paragraph"/>
        <w:numPr>
          <w:ilvl w:val="0"/>
          <w:numId w:val="32"/>
        </w:numPr>
        <w:spacing w:before="0" w:beforeAutospacing="0" w:after="0" w:afterAutospacing="0"/>
        <w:ind w:left="540"/>
        <w:textAlignment w:val="baseline"/>
        <w:rPr>
          <w:rFonts w:eastAsiaTheme="minorEastAsia"/>
          <w:color w:val="000000" w:themeColor="text1"/>
          <w:kern w:val="24"/>
        </w:rPr>
      </w:pPr>
      <w:r w:rsidRPr="3E362E61">
        <w:rPr>
          <w:rFonts w:eastAsiaTheme="minorEastAsia"/>
        </w:rPr>
        <w:t xml:space="preserve">Five state hospitals temporarily closed to </w:t>
      </w:r>
      <w:r w:rsidR="00895E95">
        <w:rPr>
          <w:rFonts w:eastAsiaTheme="minorEastAsia"/>
        </w:rPr>
        <w:t xml:space="preserve">civil </w:t>
      </w:r>
      <w:r w:rsidRPr="3E362E61">
        <w:rPr>
          <w:rFonts w:eastAsiaTheme="minorEastAsia"/>
        </w:rPr>
        <w:t>admissions</w:t>
      </w:r>
      <w:r w:rsidR="005A4FCC">
        <w:rPr>
          <w:rFonts w:eastAsiaTheme="minorEastAsia"/>
        </w:rPr>
        <w:t xml:space="preserve"> in July 2021</w:t>
      </w:r>
      <w:r w:rsidRPr="3E362E61">
        <w:rPr>
          <w:rFonts w:eastAsiaTheme="minorEastAsia"/>
        </w:rPr>
        <w:t xml:space="preserve"> </w:t>
      </w:r>
      <w:proofErr w:type="gramStart"/>
      <w:r w:rsidRPr="3E362E61">
        <w:rPr>
          <w:rFonts w:eastAsiaTheme="minorEastAsia"/>
        </w:rPr>
        <w:t>in an effort to</w:t>
      </w:r>
      <w:proofErr w:type="gramEnd"/>
      <w:r w:rsidRPr="3E362E61">
        <w:rPr>
          <w:rFonts w:eastAsiaTheme="minorEastAsia"/>
        </w:rPr>
        <w:t xml:space="preserve"> bring patient to staff ratios to a safer level to reduce serious incidents and </w:t>
      </w:r>
      <w:r w:rsidRPr="5F6412D5">
        <w:rPr>
          <w:rFonts w:eastAsiaTheme="minorEastAsia"/>
          <w:kern w:val="24"/>
        </w:rPr>
        <w:t xml:space="preserve">injuries.  </w:t>
      </w:r>
    </w:p>
    <w:p w14:paraId="50745806" w14:textId="1C1A3FB3" w:rsidR="00895E95" w:rsidRPr="00CD5A1C" w:rsidRDefault="00895E95" w:rsidP="009054AA">
      <w:pPr>
        <w:pStyle w:val="paragraph"/>
        <w:numPr>
          <w:ilvl w:val="0"/>
          <w:numId w:val="32"/>
        </w:numPr>
        <w:spacing w:before="0" w:beforeAutospacing="0" w:after="0" w:afterAutospacing="0"/>
        <w:ind w:left="540"/>
        <w:textAlignment w:val="baseline"/>
        <w:rPr>
          <w:rFonts w:eastAsiaTheme="minorEastAsia"/>
          <w:color w:val="000000" w:themeColor="text1"/>
          <w:kern w:val="24"/>
        </w:rPr>
      </w:pPr>
      <w:r>
        <w:rPr>
          <w:rFonts w:eastAsiaTheme="minorEastAsia"/>
          <w:kern w:val="24"/>
        </w:rPr>
        <w:t>All closed hospitals were re-opened by early September; however, beds were re-opened at the capacity at which they could be safely staffed. Additional beds were added at each hospital as staffing levels improved. By the end of the fiscal year, 139 beds had been reopened across the state hospital system.</w:t>
      </w:r>
    </w:p>
    <w:p w14:paraId="30CE55A9" w14:textId="1D3790E3" w:rsidR="000919BD" w:rsidRPr="00CD5A1C" w:rsidRDefault="000919BD" w:rsidP="009054AA">
      <w:pPr>
        <w:pStyle w:val="paragraph"/>
        <w:numPr>
          <w:ilvl w:val="0"/>
          <w:numId w:val="32"/>
        </w:numPr>
        <w:spacing w:before="0" w:beforeAutospacing="0" w:after="0" w:afterAutospacing="0"/>
        <w:ind w:left="540"/>
        <w:textAlignment w:val="baseline"/>
        <w:rPr>
          <w:rFonts w:eastAsiaTheme="minorEastAsia"/>
          <w:color w:val="000000" w:themeColor="text1"/>
          <w:kern w:val="24"/>
        </w:rPr>
      </w:pPr>
      <w:r w:rsidRPr="5F6412D5">
        <w:rPr>
          <w:rFonts w:eastAsiaTheme="minorEastAsia"/>
          <w:color w:val="000000" w:themeColor="text1"/>
          <w:kern w:val="24"/>
        </w:rPr>
        <w:t xml:space="preserve">Direct care staffing vacancies reached up to 69 percent in several state hospitals. </w:t>
      </w:r>
    </w:p>
    <w:p w14:paraId="2050BDF8" w14:textId="77777777" w:rsidR="00895E95" w:rsidRDefault="00895E95" w:rsidP="009054AA">
      <w:pPr>
        <w:pStyle w:val="paragraph"/>
        <w:numPr>
          <w:ilvl w:val="0"/>
          <w:numId w:val="32"/>
        </w:numPr>
        <w:spacing w:before="0" w:beforeAutospacing="0" w:after="0" w:afterAutospacing="0"/>
        <w:ind w:left="540"/>
        <w:rPr>
          <w:color w:val="000000" w:themeColor="text1"/>
        </w:rPr>
      </w:pPr>
      <w:r w:rsidRPr="1C0393A0">
        <w:t xml:space="preserve">DBHDS utilized ARPA dollars to secure direct care contract staffing (DSA, LPN, RN) to maintain hospital operations in </w:t>
      </w:r>
      <w:r>
        <w:t>seven</w:t>
      </w:r>
      <w:r w:rsidRPr="1C0393A0">
        <w:t xml:space="preserve"> of </w:t>
      </w:r>
      <w:r>
        <w:t>nine</w:t>
      </w:r>
      <w:r w:rsidRPr="1C0393A0">
        <w:t xml:space="preserve"> state hospitals during FY</w:t>
      </w:r>
      <w:r>
        <w:t xml:space="preserve"> </w:t>
      </w:r>
      <w:r w:rsidRPr="1C0393A0">
        <w:t xml:space="preserve">2022. </w:t>
      </w:r>
    </w:p>
    <w:p w14:paraId="56956C9E" w14:textId="27CE6144" w:rsidR="000919BD" w:rsidRPr="00CD5A1C" w:rsidRDefault="000919BD" w:rsidP="009054AA">
      <w:pPr>
        <w:pStyle w:val="paragraph"/>
        <w:numPr>
          <w:ilvl w:val="0"/>
          <w:numId w:val="32"/>
        </w:numPr>
        <w:spacing w:before="0" w:beforeAutospacing="0" w:after="0" w:afterAutospacing="0"/>
        <w:ind w:left="540"/>
        <w:textAlignment w:val="baseline"/>
        <w:rPr>
          <w:rFonts w:eastAsiaTheme="minorEastAsia"/>
          <w:color w:val="000000" w:themeColor="text1"/>
          <w:kern w:val="24"/>
        </w:rPr>
      </w:pPr>
      <w:r>
        <w:t>DBHDS worked closely with state hospitals to implement available strategies to mitigate staff turnover</w:t>
      </w:r>
      <w:r w:rsidR="00895E95">
        <w:t>;</w:t>
      </w:r>
      <w:r>
        <w:t xml:space="preserve"> however</w:t>
      </w:r>
      <w:r w:rsidR="00895E95">
        <w:t>,</w:t>
      </w:r>
      <w:r>
        <w:t xml:space="preserve"> staffing continued to be at crisis levels by the end of FY 2022.</w:t>
      </w:r>
    </w:p>
    <w:p w14:paraId="0FE6D3E5" w14:textId="77777777" w:rsidR="000919BD" w:rsidRPr="00CD5A1C" w:rsidRDefault="000919BD" w:rsidP="009054AA">
      <w:pPr>
        <w:pStyle w:val="paragraph"/>
        <w:numPr>
          <w:ilvl w:val="0"/>
          <w:numId w:val="32"/>
        </w:numPr>
        <w:spacing w:before="0" w:beforeAutospacing="0" w:after="0" w:afterAutospacing="0"/>
        <w:ind w:left="540"/>
        <w:textAlignment w:val="baseline"/>
        <w:rPr>
          <w:rFonts w:eastAsiaTheme="minorEastAsia"/>
          <w:color w:val="000000" w:themeColor="text1"/>
          <w:kern w:val="24"/>
        </w:rPr>
      </w:pPr>
      <w:r>
        <w:lastRenderedPageBreak/>
        <w:t xml:space="preserve">By the end of FY 2022, direct care staffing levels were not sufficient to maintain safe operations and quality care within the state hospitals and all facilities were operating at a limited capacity of 50 percent to 96 percent across the system.  </w:t>
      </w:r>
    </w:p>
    <w:p w14:paraId="255BA47A" w14:textId="77777777" w:rsidR="000919BD" w:rsidRPr="001C3A26" w:rsidRDefault="000919BD" w:rsidP="000919BD">
      <w:pPr>
        <w:pStyle w:val="NormalWeb"/>
        <w:shd w:val="clear" w:color="auto" w:fill="FFFFFF"/>
        <w:spacing w:before="0" w:beforeAutospacing="0" w:after="0" w:afterAutospacing="0"/>
        <w:textAlignment w:val="baseline"/>
        <w:rPr>
          <w:color w:val="222222"/>
        </w:rPr>
      </w:pPr>
    </w:p>
    <w:p w14:paraId="4845E1C8" w14:textId="77777777" w:rsidR="005322E4" w:rsidRPr="00E26CE7" w:rsidRDefault="005322E4" w:rsidP="005322E4">
      <w:pPr>
        <w:pStyle w:val="paragraph"/>
        <w:spacing w:before="0" w:beforeAutospacing="0" w:after="0" w:afterAutospacing="0"/>
        <w:textAlignment w:val="baseline"/>
        <w:rPr>
          <w:b/>
          <w:bCs/>
          <w:i/>
          <w:iCs/>
          <w:sz w:val="26"/>
          <w:szCs w:val="26"/>
        </w:rPr>
      </w:pPr>
      <w:r w:rsidRPr="00E26CE7">
        <w:rPr>
          <w:b/>
          <w:bCs/>
          <w:i/>
          <w:iCs/>
          <w:sz w:val="26"/>
          <w:szCs w:val="26"/>
        </w:rPr>
        <w:t>Architecture and Engineering Services</w:t>
      </w:r>
      <w:r w:rsidRPr="00E26CE7">
        <w:rPr>
          <w:sz w:val="26"/>
          <w:szCs w:val="26"/>
        </w:rPr>
        <w:t xml:space="preserve"> </w:t>
      </w:r>
    </w:p>
    <w:p w14:paraId="3BF37F76" w14:textId="77777777" w:rsidR="005322E4" w:rsidRPr="00E56E46" w:rsidRDefault="005322E4" w:rsidP="005322E4">
      <w:r w:rsidRPr="00E53B9E">
        <w:t xml:space="preserve">Construction progressed on numerous projects despite the constraints of COVID-19. Virginia has experienced delays with the delivery of materials and supplies. These delays included but were not </w:t>
      </w:r>
      <w:r w:rsidRPr="00E56E46">
        <w:t xml:space="preserve">limited to doors, hardware, and roofing </w:t>
      </w:r>
      <w:proofErr w:type="gramStart"/>
      <w:r w:rsidRPr="00E56E46">
        <w:t>materials in particular</w:t>
      </w:r>
      <w:proofErr w:type="gramEnd"/>
      <w:r w:rsidRPr="00E56E46">
        <w:t xml:space="preserve">.   </w:t>
      </w:r>
    </w:p>
    <w:p w14:paraId="076DA87D" w14:textId="77777777" w:rsidR="005322E4" w:rsidRPr="00E56E46" w:rsidRDefault="005322E4" w:rsidP="009054AA">
      <w:pPr>
        <w:pStyle w:val="ListParagraph"/>
        <w:numPr>
          <w:ilvl w:val="0"/>
          <w:numId w:val="34"/>
        </w:numPr>
        <w:spacing w:line="240" w:lineRule="auto"/>
        <w:ind w:left="547"/>
        <w:rPr>
          <w:rFonts w:ascii="Times New Roman" w:hAnsi="Times New Roman"/>
          <w:sz w:val="24"/>
          <w:szCs w:val="24"/>
        </w:rPr>
      </w:pPr>
      <w:r w:rsidRPr="00E56E46">
        <w:rPr>
          <w:rFonts w:ascii="Times New Roman" w:hAnsi="Times New Roman"/>
          <w:sz w:val="24"/>
          <w:szCs w:val="24"/>
        </w:rPr>
        <w:t xml:space="preserve">Expansion of VCBR – With the exception of a </w:t>
      </w:r>
      <w:proofErr w:type="gramStart"/>
      <w:r w:rsidRPr="00E56E46">
        <w:rPr>
          <w:rFonts w:ascii="Times New Roman" w:hAnsi="Times New Roman"/>
          <w:sz w:val="24"/>
          <w:szCs w:val="24"/>
        </w:rPr>
        <w:t>six bed</w:t>
      </w:r>
      <w:proofErr w:type="gramEnd"/>
      <w:r w:rsidRPr="00E56E46">
        <w:rPr>
          <w:rFonts w:ascii="Times New Roman" w:hAnsi="Times New Roman"/>
          <w:sz w:val="24"/>
          <w:szCs w:val="24"/>
        </w:rPr>
        <w:t xml:space="preserve"> female unit, VCBR has occupied all new living units (six total). This includes the transitional unit and four "standard" living units. One additional living unit is being used for temporary office space as construction progresses. Construction is continuing in support areas (vocational, treatment areas, office spaces) and in living units that were part of the existing facility. The expansion project includes renovation of the pre-existing units to add medical/treatment areas on the living units. One of the original three housing buildings (four units) is undergoing renovation </w:t>
      </w:r>
      <w:proofErr w:type="gramStart"/>
      <w:r w:rsidRPr="00E56E46">
        <w:rPr>
          <w:rFonts w:ascii="Times New Roman" w:hAnsi="Times New Roman"/>
          <w:sz w:val="24"/>
          <w:szCs w:val="24"/>
        </w:rPr>
        <w:t>at this time</w:t>
      </w:r>
      <w:proofErr w:type="gramEnd"/>
      <w:r w:rsidRPr="00E56E46">
        <w:rPr>
          <w:rFonts w:ascii="Times New Roman" w:hAnsi="Times New Roman"/>
          <w:sz w:val="24"/>
          <w:szCs w:val="24"/>
        </w:rPr>
        <w:t xml:space="preserve">. Two additional housing buildings need to undergo renovations. When renovations occur, the entire building (four living units) is closed. The anticipated date for completion of all construction/renovation is March 2023. This project has experienced multiple delays due to material and service delivery delays. </w:t>
      </w:r>
    </w:p>
    <w:p w14:paraId="14E575FD" w14:textId="77777777" w:rsidR="005322E4" w:rsidRPr="00E56E46" w:rsidRDefault="005322E4" w:rsidP="009054AA">
      <w:pPr>
        <w:pStyle w:val="ListParagraph"/>
        <w:numPr>
          <w:ilvl w:val="0"/>
          <w:numId w:val="34"/>
        </w:numPr>
        <w:spacing w:line="240" w:lineRule="auto"/>
        <w:ind w:left="547"/>
        <w:rPr>
          <w:rFonts w:ascii="Times New Roman" w:hAnsi="Times New Roman"/>
          <w:sz w:val="24"/>
          <w:szCs w:val="24"/>
        </w:rPr>
      </w:pPr>
      <w:r w:rsidRPr="00E56E46">
        <w:rPr>
          <w:rFonts w:ascii="Times New Roman" w:hAnsi="Times New Roman"/>
          <w:sz w:val="24"/>
          <w:szCs w:val="24"/>
        </w:rPr>
        <w:t xml:space="preserve">Northern Virginia Mental Health Institute – Projects are underway for replacement of the fire alarm system, anti-ligature improvements, and access control upgrades.  Replacement of several rooftop air handling units, installation of a new emergency generator and electrical improvements have been completed. DBHDS is doing some preliminary work with DGS to identify potential sites for a replacement facility.  </w:t>
      </w:r>
    </w:p>
    <w:p w14:paraId="41EC35B0" w14:textId="1AB6A3B2" w:rsidR="005322E4" w:rsidRPr="00E56E46" w:rsidRDefault="005322E4" w:rsidP="009054AA">
      <w:pPr>
        <w:pStyle w:val="ListParagraph"/>
        <w:numPr>
          <w:ilvl w:val="0"/>
          <w:numId w:val="34"/>
        </w:numPr>
        <w:spacing w:line="240" w:lineRule="auto"/>
        <w:ind w:left="547"/>
        <w:rPr>
          <w:rStyle w:val="eop"/>
          <w:rFonts w:ascii="Times New Roman" w:hAnsi="Times New Roman"/>
          <w:sz w:val="24"/>
          <w:szCs w:val="24"/>
        </w:rPr>
      </w:pPr>
      <w:r w:rsidRPr="00E56E46">
        <w:rPr>
          <w:rFonts w:ascii="Times New Roman" w:hAnsi="Times New Roman"/>
          <w:sz w:val="24"/>
          <w:szCs w:val="24"/>
        </w:rPr>
        <w:t>Central State Hospital Rebuild</w:t>
      </w:r>
      <w:r w:rsidRPr="00E56E46">
        <w:rPr>
          <w:rStyle w:val="eop"/>
          <w:rFonts w:ascii="Times New Roman" w:hAnsi="Times New Roman"/>
          <w:sz w:val="24"/>
          <w:szCs w:val="24"/>
        </w:rPr>
        <w:t xml:space="preserve"> – The 2019 session of the General Assembly provided funding</w:t>
      </w:r>
      <w:r w:rsidR="00E26CE7">
        <w:rPr>
          <w:rStyle w:val="eop"/>
          <w:rFonts w:ascii="Times New Roman" w:hAnsi="Times New Roman"/>
          <w:sz w:val="24"/>
          <w:szCs w:val="24"/>
        </w:rPr>
        <w:t xml:space="preserve"> </w:t>
      </w:r>
      <w:r w:rsidRPr="00E56E46">
        <w:rPr>
          <w:rStyle w:val="eop"/>
          <w:rFonts w:ascii="Times New Roman" w:hAnsi="Times New Roman"/>
          <w:sz w:val="24"/>
          <w:szCs w:val="24"/>
        </w:rPr>
        <w:t xml:space="preserve">for the replacement of Central State Hospital. The Department of General Services serves as the project manager for this capital project. The architectural/engineering firm of Einhorn </w:t>
      </w:r>
      <w:proofErr w:type="spellStart"/>
      <w:r w:rsidRPr="00E56E46">
        <w:rPr>
          <w:rStyle w:val="eop"/>
          <w:rFonts w:ascii="Times New Roman" w:hAnsi="Times New Roman"/>
          <w:sz w:val="24"/>
          <w:szCs w:val="24"/>
        </w:rPr>
        <w:t>Yaffee</w:t>
      </w:r>
      <w:proofErr w:type="spellEnd"/>
      <w:r w:rsidRPr="00E56E46">
        <w:rPr>
          <w:rStyle w:val="eop"/>
          <w:rFonts w:ascii="Times New Roman" w:hAnsi="Times New Roman"/>
          <w:sz w:val="24"/>
          <w:szCs w:val="24"/>
        </w:rPr>
        <w:t xml:space="preserve"> Prescott was selected to design the new facility and Gilbane Construction was chosen as the construction manager.  </w:t>
      </w:r>
    </w:p>
    <w:p w14:paraId="55EAB2C5" w14:textId="77777777" w:rsidR="005322E4" w:rsidRPr="00E26CE7" w:rsidRDefault="005322E4" w:rsidP="005322E4">
      <w:pPr>
        <w:pStyle w:val="paragraph"/>
        <w:shd w:val="clear" w:color="auto" w:fill="FFFFFF"/>
        <w:spacing w:before="0" w:beforeAutospacing="0" w:after="0" w:afterAutospacing="0"/>
        <w:textAlignment w:val="baseline"/>
        <w:rPr>
          <w:color w:val="000000"/>
          <w:sz w:val="26"/>
          <w:szCs w:val="26"/>
        </w:rPr>
      </w:pPr>
      <w:r w:rsidRPr="00E26CE7">
        <w:rPr>
          <w:rStyle w:val="normaltextrun"/>
          <w:b/>
          <w:bCs/>
          <w:i/>
          <w:iCs/>
          <w:color w:val="000000"/>
          <w:sz w:val="26"/>
          <w:szCs w:val="26"/>
        </w:rPr>
        <w:t>Community Integration Services (CIS)</w:t>
      </w:r>
      <w:r w:rsidRPr="00E26CE7">
        <w:rPr>
          <w:rStyle w:val="normaltextrun"/>
          <w:color w:val="000000"/>
          <w:sz w:val="26"/>
          <w:szCs w:val="26"/>
        </w:rPr>
        <w:t> </w:t>
      </w:r>
      <w:r w:rsidRPr="00E26CE7">
        <w:rPr>
          <w:rStyle w:val="eop"/>
          <w:color w:val="000000"/>
          <w:sz w:val="26"/>
          <w:szCs w:val="26"/>
        </w:rPr>
        <w:t> </w:t>
      </w:r>
    </w:p>
    <w:p w14:paraId="27D90BCE" w14:textId="77777777" w:rsidR="005322E4" w:rsidRPr="002A69FC" w:rsidRDefault="005322E4" w:rsidP="005322E4">
      <w:pPr>
        <w:pStyle w:val="NoSpacing"/>
        <w:rPr>
          <w:rStyle w:val="normaltextrun"/>
          <w:rFonts w:ascii="Times New Roman" w:hAnsi="Times New Roman"/>
          <w:color w:val="000000" w:themeColor="text1"/>
          <w:sz w:val="24"/>
          <w:szCs w:val="24"/>
        </w:rPr>
      </w:pPr>
      <w:r w:rsidRPr="002A69FC">
        <w:rPr>
          <w:rStyle w:val="normaltextrun"/>
          <w:rFonts w:ascii="Times New Roman" w:hAnsi="Times New Roman"/>
          <w:color w:val="000000" w:themeColor="text1"/>
          <w:sz w:val="24"/>
          <w:szCs w:val="24"/>
        </w:rPr>
        <w:t>CIS provides development and oversight of the Alternative Transportation Program, and discharge planning and community integration of individuals discharging from state hospitals. The team assists and trains discharge planners and administers Discharge Assistance Plan (DAP) funds and Local Inpatient Purchase of Service (LIPOS) funds, along with other funding sources that support community integration.</w:t>
      </w:r>
    </w:p>
    <w:p w14:paraId="4CA6A850" w14:textId="77777777" w:rsidR="005322E4" w:rsidRPr="00E56E46" w:rsidRDefault="005322E4" w:rsidP="009054AA">
      <w:pPr>
        <w:pStyle w:val="paragraph"/>
        <w:numPr>
          <w:ilvl w:val="0"/>
          <w:numId w:val="35"/>
        </w:numPr>
        <w:shd w:val="clear" w:color="auto" w:fill="FFFFFF"/>
        <w:spacing w:before="0" w:beforeAutospacing="0" w:after="0" w:afterAutospacing="0"/>
        <w:ind w:left="540"/>
        <w:textAlignment w:val="baseline"/>
        <w:rPr>
          <w:bCs/>
          <w:color w:val="000000"/>
        </w:rPr>
      </w:pPr>
      <w:r w:rsidRPr="00E56E46">
        <w:rPr>
          <w:rStyle w:val="normaltextrun"/>
          <w:bCs/>
          <w:color w:val="000000"/>
        </w:rPr>
        <w:t>Alternative Transportation Services</w:t>
      </w:r>
      <w:r w:rsidRPr="00E56E46">
        <w:rPr>
          <w:rStyle w:val="normaltextrun"/>
          <w:bCs/>
          <w:i/>
          <w:iCs/>
          <w:color w:val="000000"/>
        </w:rPr>
        <w:t xml:space="preserve"> – </w:t>
      </w:r>
      <w:r w:rsidRPr="00E56E46">
        <w:rPr>
          <w:rStyle w:val="normaltextrun"/>
          <w:bCs/>
          <w:color w:val="000000" w:themeColor="text1"/>
        </w:rPr>
        <w:t>The alternative transportation program provides a person-centered and trauma-informed transportation services, versus traditional law enforcement transport during the temporary detention order (TDO) process. DBHDS contracts with Allied Universal to provide this service. During FY 2022, the alternative transportation program:</w:t>
      </w:r>
      <w:r w:rsidRPr="00E56E46">
        <w:rPr>
          <w:rStyle w:val="eop"/>
          <w:bCs/>
          <w:color w:val="000000" w:themeColor="text1"/>
        </w:rPr>
        <w:t> </w:t>
      </w:r>
    </w:p>
    <w:p w14:paraId="3093F408" w14:textId="77777777" w:rsidR="005322E4" w:rsidRPr="00E56E46" w:rsidRDefault="005322E4" w:rsidP="009054AA">
      <w:pPr>
        <w:pStyle w:val="NoSpacing"/>
        <w:numPr>
          <w:ilvl w:val="0"/>
          <w:numId w:val="36"/>
        </w:numPr>
        <w:tabs>
          <w:tab w:val="left" w:pos="1080"/>
        </w:tabs>
        <w:ind w:left="1080"/>
        <w:rPr>
          <w:rFonts w:ascii="Times New Roman" w:hAnsi="Times New Roman"/>
          <w:bCs/>
          <w:sz w:val="24"/>
          <w:szCs w:val="24"/>
        </w:rPr>
      </w:pPr>
      <w:r w:rsidRPr="00E56E46">
        <w:rPr>
          <w:rFonts w:ascii="Times New Roman" w:hAnsi="Times New Roman"/>
          <w:bCs/>
          <w:sz w:val="24"/>
          <w:szCs w:val="24"/>
        </w:rPr>
        <w:t>Navigated a buyout from the original contractor, G4S, to Allied Universal.</w:t>
      </w:r>
    </w:p>
    <w:p w14:paraId="3705B11F" w14:textId="77777777" w:rsidR="005322E4" w:rsidRPr="00E56E46" w:rsidRDefault="005322E4" w:rsidP="009054AA">
      <w:pPr>
        <w:pStyle w:val="NoSpacing"/>
        <w:numPr>
          <w:ilvl w:val="0"/>
          <w:numId w:val="36"/>
        </w:numPr>
        <w:tabs>
          <w:tab w:val="left" w:pos="1080"/>
        </w:tabs>
        <w:ind w:left="1080"/>
        <w:rPr>
          <w:rFonts w:ascii="Times New Roman" w:hAnsi="Times New Roman"/>
          <w:bCs/>
          <w:sz w:val="24"/>
          <w:szCs w:val="24"/>
        </w:rPr>
      </w:pPr>
      <w:r w:rsidRPr="00E56E46">
        <w:rPr>
          <w:rFonts w:ascii="Times New Roman" w:hAnsi="Times New Roman"/>
          <w:bCs/>
          <w:sz w:val="24"/>
          <w:szCs w:val="24"/>
        </w:rPr>
        <w:t xml:space="preserve">Continued operations under Allied Universal to complete 1,925 transports during FY 2022 bringing the program to just under 5,000 transports since the beginning. </w:t>
      </w:r>
    </w:p>
    <w:p w14:paraId="7068C069" w14:textId="77777777" w:rsidR="005322E4" w:rsidRPr="00E56E46" w:rsidRDefault="005322E4" w:rsidP="009054AA">
      <w:pPr>
        <w:pStyle w:val="NoSpacing"/>
        <w:numPr>
          <w:ilvl w:val="0"/>
          <w:numId w:val="36"/>
        </w:numPr>
        <w:tabs>
          <w:tab w:val="left" w:pos="1080"/>
        </w:tabs>
        <w:ind w:left="1080"/>
        <w:rPr>
          <w:rFonts w:ascii="Times New Roman" w:hAnsi="Times New Roman"/>
          <w:bCs/>
          <w:sz w:val="24"/>
          <w:szCs w:val="24"/>
        </w:rPr>
      </w:pPr>
      <w:r w:rsidRPr="00E56E46">
        <w:rPr>
          <w:rFonts w:ascii="Times New Roman" w:hAnsi="Times New Roman"/>
          <w:bCs/>
          <w:sz w:val="24"/>
          <w:szCs w:val="24"/>
        </w:rPr>
        <w:lastRenderedPageBreak/>
        <w:t xml:space="preserve">Negotiated a corrective action process with Allied Universal in order to determine whether to move forward with contract renewal and, as a result, renewed the contract with Allied for a </w:t>
      </w:r>
      <w:proofErr w:type="gramStart"/>
      <w:r w:rsidRPr="00E56E46">
        <w:rPr>
          <w:rFonts w:ascii="Times New Roman" w:hAnsi="Times New Roman"/>
          <w:bCs/>
          <w:sz w:val="24"/>
          <w:szCs w:val="24"/>
        </w:rPr>
        <w:t>one year</w:t>
      </w:r>
      <w:proofErr w:type="gramEnd"/>
      <w:r w:rsidRPr="00E56E46">
        <w:rPr>
          <w:rFonts w:ascii="Times New Roman" w:hAnsi="Times New Roman"/>
          <w:bCs/>
          <w:sz w:val="24"/>
          <w:szCs w:val="24"/>
        </w:rPr>
        <w:t xml:space="preserve"> term.</w:t>
      </w:r>
    </w:p>
    <w:p w14:paraId="7DAA674A" w14:textId="77777777" w:rsidR="005322E4" w:rsidRPr="00E56E46" w:rsidRDefault="005322E4" w:rsidP="009054AA">
      <w:pPr>
        <w:pStyle w:val="NoSpacing"/>
        <w:numPr>
          <w:ilvl w:val="0"/>
          <w:numId w:val="36"/>
        </w:numPr>
        <w:tabs>
          <w:tab w:val="left" w:pos="1080"/>
        </w:tabs>
        <w:ind w:left="1080"/>
        <w:rPr>
          <w:rFonts w:ascii="Times New Roman" w:hAnsi="Times New Roman"/>
          <w:bCs/>
          <w:sz w:val="24"/>
          <w:szCs w:val="24"/>
        </w:rPr>
      </w:pPr>
      <w:r w:rsidRPr="00E56E46">
        <w:rPr>
          <w:rFonts w:ascii="Times New Roman" w:hAnsi="Times New Roman"/>
          <w:bCs/>
          <w:sz w:val="24"/>
          <w:szCs w:val="24"/>
        </w:rPr>
        <w:t>Implemented a pilot program for discharge transportation from Western State and Catawba Hospitals with plans to expand to all state facilities in FY 2023.</w:t>
      </w:r>
    </w:p>
    <w:p w14:paraId="0D49787F" w14:textId="77777777" w:rsidR="005322E4" w:rsidRPr="00E56E46" w:rsidRDefault="005322E4" w:rsidP="009054AA">
      <w:pPr>
        <w:pStyle w:val="NoSpacing"/>
        <w:numPr>
          <w:ilvl w:val="0"/>
          <w:numId w:val="36"/>
        </w:numPr>
        <w:tabs>
          <w:tab w:val="left" w:pos="1080"/>
        </w:tabs>
        <w:ind w:left="1080"/>
        <w:rPr>
          <w:rStyle w:val="normaltextrun"/>
          <w:rFonts w:ascii="Times New Roman" w:eastAsia="Arial" w:hAnsi="Times New Roman"/>
          <w:bCs/>
          <w:color w:val="222222"/>
          <w:sz w:val="24"/>
          <w:szCs w:val="24"/>
        </w:rPr>
      </w:pPr>
      <w:r w:rsidRPr="00E56E46">
        <w:rPr>
          <w:rFonts w:ascii="Times New Roman" w:hAnsi="Times New Roman"/>
          <w:bCs/>
          <w:sz w:val="24"/>
          <w:szCs w:val="24"/>
        </w:rPr>
        <w:t>Implemented a pilot program to develop memorandums of agreement with local law enforcement agencies to assist with the costs of maintaining custody of individuals awaiting a state facility bed.</w:t>
      </w:r>
    </w:p>
    <w:p w14:paraId="56A0684B" w14:textId="6A1D7B27" w:rsidR="005322E4" w:rsidRPr="00E56E46" w:rsidRDefault="00E56E46" w:rsidP="009054AA">
      <w:pPr>
        <w:pStyle w:val="NoSpacing"/>
        <w:numPr>
          <w:ilvl w:val="0"/>
          <w:numId w:val="39"/>
        </w:numPr>
        <w:ind w:left="540"/>
        <w:rPr>
          <w:rStyle w:val="normaltextrun"/>
          <w:rFonts w:ascii="Times New Roman" w:hAnsi="Times New Roman"/>
          <w:bCs/>
          <w:color w:val="000000" w:themeColor="text1"/>
          <w:sz w:val="24"/>
          <w:szCs w:val="24"/>
        </w:rPr>
      </w:pPr>
      <w:r w:rsidRPr="00E56E46">
        <w:rPr>
          <w:rStyle w:val="normaltextrun"/>
          <w:rFonts w:ascii="Times New Roman" w:hAnsi="Times New Roman"/>
          <w:bCs/>
          <w:color w:val="000000" w:themeColor="text1"/>
          <w:sz w:val="24"/>
          <w:szCs w:val="24"/>
        </w:rPr>
        <w:t>D</w:t>
      </w:r>
      <w:r w:rsidR="005322E4" w:rsidRPr="00E56E46">
        <w:rPr>
          <w:rStyle w:val="normaltextrun"/>
          <w:rFonts w:ascii="Times New Roman" w:hAnsi="Times New Roman"/>
          <w:bCs/>
          <w:color w:val="000000" w:themeColor="text1"/>
          <w:sz w:val="24"/>
          <w:szCs w:val="24"/>
        </w:rPr>
        <w:t xml:space="preserve">AP – DAP is a major tool for overcoming barriers to discharge for individuals in state mental health hospitals who are clinically ready to leave but unable to do so due to the lack of needed community services. </w:t>
      </w:r>
    </w:p>
    <w:p w14:paraId="62CDDC03" w14:textId="77777777" w:rsidR="005322E4" w:rsidRPr="00E56E46" w:rsidRDefault="005322E4" w:rsidP="009054AA">
      <w:pPr>
        <w:pStyle w:val="NoSpacing"/>
        <w:numPr>
          <w:ilvl w:val="0"/>
          <w:numId w:val="40"/>
        </w:numPr>
        <w:ind w:left="1080"/>
        <w:rPr>
          <w:rFonts w:ascii="Times New Roman" w:eastAsia="Symbol" w:hAnsi="Times New Roman"/>
          <w:bCs/>
          <w:color w:val="222222"/>
          <w:sz w:val="24"/>
          <w:szCs w:val="24"/>
        </w:rPr>
      </w:pPr>
      <w:r w:rsidRPr="00E56E46">
        <w:rPr>
          <w:rFonts w:ascii="Times New Roman" w:eastAsia="Times New Roman" w:hAnsi="Times New Roman"/>
          <w:bCs/>
          <w:color w:val="222222"/>
          <w:sz w:val="24"/>
          <w:szCs w:val="24"/>
        </w:rPr>
        <w:t xml:space="preserve">Oversaw the use of $62.4 million in DAP funds. </w:t>
      </w:r>
    </w:p>
    <w:p w14:paraId="0E7E45F8" w14:textId="77777777" w:rsidR="005322E4" w:rsidRPr="00E56E46" w:rsidRDefault="005322E4" w:rsidP="009054AA">
      <w:pPr>
        <w:pStyle w:val="NoSpacing"/>
        <w:numPr>
          <w:ilvl w:val="0"/>
          <w:numId w:val="40"/>
        </w:numPr>
        <w:ind w:left="1080"/>
        <w:rPr>
          <w:rFonts w:ascii="Times New Roman" w:eastAsia="Symbol" w:hAnsi="Times New Roman"/>
          <w:bCs/>
          <w:color w:val="222222"/>
          <w:sz w:val="24"/>
          <w:szCs w:val="24"/>
        </w:rPr>
      </w:pPr>
      <w:r w:rsidRPr="00E56E46">
        <w:rPr>
          <w:rFonts w:ascii="Times New Roman" w:eastAsia="Times New Roman" w:hAnsi="Times New Roman"/>
          <w:bCs/>
          <w:color w:val="222222"/>
          <w:sz w:val="24"/>
          <w:szCs w:val="24"/>
        </w:rPr>
        <w:t>In FY 2022, DAP funds served 1,637 individuals, of which approximately 619 were new discharges from state hospitals.</w:t>
      </w:r>
    </w:p>
    <w:p w14:paraId="1D4EFDA2" w14:textId="77777777" w:rsidR="005322E4" w:rsidRPr="00E56E46" w:rsidRDefault="005322E4" w:rsidP="009054AA">
      <w:pPr>
        <w:pStyle w:val="NoSpacing"/>
        <w:numPr>
          <w:ilvl w:val="0"/>
          <w:numId w:val="40"/>
        </w:numPr>
        <w:ind w:left="1080"/>
        <w:rPr>
          <w:rFonts w:ascii="Times New Roman" w:eastAsia="Symbol" w:hAnsi="Times New Roman"/>
          <w:bCs/>
          <w:color w:val="222222"/>
          <w:sz w:val="24"/>
          <w:szCs w:val="24"/>
        </w:rPr>
      </w:pPr>
      <w:r w:rsidRPr="00E56E46">
        <w:rPr>
          <w:rFonts w:ascii="Times New Roman" w:hAnsi="Times New Roman"/>
          <w:bCs/>
          <w:sz w:val="24"/>
          <w:szCs w:val="24"/>
        </w:rPr>
        <w:t>Served 1,337 individuals with individual DAP plans/funding</w:t>
      </w:r>
    </w:p>
    <w:p w14:paraId="3B5F1D4F" w14:textId="10FF3DB9" w:rsidR="006B7CEC" w:rsidRPr="00E56E46" w:rsidRDefault="006B7CEC" w:rsidP="009054AA">
      <w:pPr>
        <w:pStyle w:val="NoSpacing"/>
        <w:numPr>
          <w:ilvl w:val="0"/>
          <w:numId w:val="41"/>
        </w:numPr>
        <w:ind w:left="540"/>
        <w:rPr>
          <w:rStyle w:val="normaltextrun"/>
          <w:rFonts w:ascii="Times New Roman" w:hAnsi="Times New Roman"/>
          <w:bCs/>
          <w:color w:val="000000" w:themeColor="text1"/>
          <w:sz w:val="24"/>
          <w:szCs w:val="24"/>
        </w:rPr>
      </w:pPr>
      <w:r w:rsidRPr="00E56E46">
        <w:rPr>
          <w:rStyle w:val="normaltextrun"/>
          <w:rFonts w:ascii="Times New Roman" w:hAnsi="Times New Roman"/>
          <w:bCs/>
          <w:color w:val="000000" w:themeColor="text1"/>
          <w:sz w:val="24"/>
          <w:szCs w:val="24"/>
        </w:rPr>
        <w:t xml:space="preserve">LIPOS – </w:t>
      </w:r>
      <w:r w:rsidRPr="00E56E46">
        <w:rPr>
          <w:rFonts w:ascii="Times New Roman" w:hAnsi="Times New Roman"/>
          <w:bCs/>
          <w:color w:val="000000"/>
          <w:sz w:val="24"/>
          <w:szCs w:val="24"/>
        </w:rPr>
        <w:t>Transitioned to a reimbursement model with the CSBs in which we reimburse for what is spent instead of a pre-determined annual allocation. This allows DBHDS to adjust where LIPOS is being sent throughout the year, so the amounts the regions receive more closely match their current needs.</w:t>
      </w:r>
    </w:p>
    <w:p w14:paraId="7A64EEB7" w14:textId="56454B1B" w:rsidR="005322E4" w:rsidRPr="00E56E46" w:rsidRDefault="005322E4" w:rsidP="009054AA">
      <w:pPr>
        <w:pStyle w:val="NoSpacing"/>
        <w:numPr>
          <w:ilvl w:val="0"/>
          <w:numId w:val="41"/>
        </w:numPr>
        <w:ind w:left="540"/>
        <w:rPr>
          <w:rStyle w:val="normaltextrun"/>
          <w:rFonts w:ascii="Times New Roman" w:hAnsi="Times New Roman"/>
          <w:bCs/>
          <w:color w:val="000000" w:themeColor="text1"/>
          <w:sz w:val="24"/>
          <w:szCs w:val="24"/>
        </w:rPr>
      </w:pPr>
      <w:r w:rsidRPr="00E56E46">
        <w:rPr>
          <w:rStyle w:val="normaltextrun"/>
          <w:rFonts w:ascii="Times New Roman" w:hAnsi="Times New Roman"/>
          <w:bCs/>
          <w:color w:val="000000" w:themeColor="text1"/>
          <w:sz w:val="24"/>
          <w:szCs w:val="24"/>
        </w:rPr>
        <w:t xml:space="preserve">Extraordinary Barriers to Discharge List (EBL) – Individuals on the EBL have been clinically ready to leave the hospital for at least seven </w:t>
      </w:r>
      <w:proofErr w:type="gramStart"/>
      <w:r w:rsidRPr="00E56E46">
        <w:rPr>
          <w:rStyle w:val="normaltextrun"/>
          <w:rFonts w:ascii="Times New Roman" w:hAnsi="Times New Roman"/>
          <w:bCs/>
          <w:color w:val="000000" w:themeColor="text1"/>
          <w:sz w:val="24"/>
          <w:szCs w:val="24"/>
        </w:rPr>
        <w:t>days, but</w:t>
      </w:r>
      <w:proofErr w:type="gramEnd"/>
      <w:r w:rsidRPr="00E56E46">
        <w:rPr>
          <w:rStyle w:val="normaltextrun"/>
          <w:rFonts w:ascii="Times New Roman" w:hAnsi="Times New Roman"/>
          <w:bCs/>
          <w:color w:val="000000" w:themeColor="text1"/>
          <w:sz w:val="24"/>
          <w:szCs w:val="24"/>
        </w:rPr>
        <w:t xml:space="preserve"> cannot be discharged safely due to non-clinical barriers. The average number of individuals on the EBL grew from 15</w:t>
      </w:r>
      <w:r w:rsidR="006B2B07" w:rsidRPr="00E56E46">
        <w:rPr>
          <w:rStyle w:val="normaltextrun"/>
          <w:rFonts w:ascii="Times New Roman" w:hAnsi="Times New Roman"/>
          <w:bCs/>
          <w:color w:val="000000" w:themeColor="text1"/>
          <w:sz w:val="24"/>
          <w:szCs w:val="24"/>
        </w:rPr>
        <w:t>3</w:t>
      </w:r>
      <w:r w:rsidRPr="00E56E46">
        <w:rPr>
          <w:rStyle w:val="normaltextrun"/>
          <w:rFonts w:ascii="Times New Roman" w:hAnsi="Times New Roman"/>
          <w:bCs/>
          <w:color w:val="000000" w:themeColor="text1"/>
          <w:sz w:val="24"/>
          <w:szCs w:val="24"/>
        </w:rPr>
        <w:t xml:space="preserve"> in FY 2015 to a high of 21</w:t>
      </w:r>
      <w:r w:rsidR="006B2B07" w:rsidRPr="00E56E46">
        <w:rPr>
          <w:rStyle w:val="normaltextrun"/>
          <w:rFonts w:ascii="Times New Roman" w:hAnsi="Times New Roman"/>
          <w:bCs/>
          <w:color w:val="000000" w:themeColor="text1"/>
          <w:sz w:val="24"/>
          <w:szCs w:val="24"/>
        </w:rPr>
        <w:t>9</w:t>
      </w:r>
      <w:r w:rsidRPr="00E56E46">
        <w:rPr>
          <w:rStyle w:val="normaltextrun"/>
          <w:rFonts w:ascii="Times New Roman" w:hAnsi="Times New Roman"/>
          <w:bCs/>
          <w:color w:val="000000" w:themeColor="text1"/>
          <w:sz w:val="24"/>
          <w:szCs w:val="24"/>
        </w:rPr>
        <w:t xml:space="preserve"> in FY 2020. In FY2021 the average number of individuals on the EBL was 209</w:t>
      </w:r>
      <w:r w:rsidR="006B2B07" w:rsidRPr="00E56E46">
        <w:rPr>
          <w:rStyle w:val="normaltextrun"/>
          <w:rFonts w:ascii="Times New Roman" w:hAnsi="Times New Roman"/>
          <w:bCs/>
          <w:color w:val="000000" w:themeColor="text1"/>
          <w:sz w:val="24"/>
          <w:szCs w:val="24"/>
        </w:rPr>
        <w:t>, and it was 199 in FY 2022.</w:t>
      </w:r>
    </w:p>
    <w:p w14:paraId="0D26CB89" w14:textId="77777777" w:rsidR="005322E4" w:rsidRPr="00E56E46" w:rsidRDefault="005322E4" w:rsidP="009054AA">
      <w:pPr>
        <w:pStyle w:val="NoSpacing"/>
        <w:numPr>
          <w:ilvl w:val="0"/>
          <w:numId w:val="38"/>
        </w:numPr>
        <w:ind w:left="540"/>
        <w:rPr>
          <w:rFonts w:ascii="Times New Roman" w:hAnsi="Times New Roman"/>
          <w:bCs/>
          <w:sz w:val="24"/>
          <w:szCs w:val="24"/>
        </w:rPr>
      </w:pPr>
      <w:r w:rsidRPr="00E56E46">
        <w:rPr>
          <w:rFonts w:ascii="Times New Roman" w:hAnsi="Times New Roman"/>
          <w:bCs/>
          <w:sz w:val="24"/>
          <w:szCs w:val="24"/>
        </w:rPr>
        <w:t>Community Integration Projects</w:t>
      </w:r>
    </w:p>
    <w:p w14:paraId="245AED5C" w14:textId="77777777" w:rsidR="005322E4" w:rsidRPr="00E56E46" w:rsidRDefault="005322E4" w:rsidP="009054AA">
      <w:pPr>
        <w:pStyle w:val="NoSpacing"/>
        <w:numPr>
          <w:ilvl w:val="0"/>
          <w:numId w:val="37"/>
        </w:numPr>
        <w:ind w:left="1080"/>
        <w:rPr>
          <w:rFonts w:ascii="Times New Roman" w:hAnsi="Times New Roman"/>
          <w:bCs/>
          <w:sz w:val="24"/>
          <w:szCs w:val="24"/>
        </w:rPr>
      </w:pPr>
      <w:r w:rsidRPr="00E56E46">
        <w:rPr>
          <w:rFonts w:ascii="Times New Roman" w:hAnsi="Times New Roman"/>
          <w:bCs/>
          <w:sz w:val="24"/>
          <w:szCs w:val="24"/>
        </w:rPr>
        <w:t>Supported 145 assisted living facility beds in three locations. </w:t>
      </w:r>
    </w:p>
    <w:p w14:paraId="4F50AACD" w14:textId="77777777" w:rsidR="005322E4" w:rsidRPr="00E56E46" w:rsidRDefault="005322E4" w:rsidP="009054AA">
      <w:pPr>
        <w:pStyle w:val="NoSpacing"/>
        <w:numPr>
          <w:ilvl w:val="0"/>
          <w:numId w:val="37"/>
        </w:numPr>
        <w:ind w:left="1080"/>
        <w:rPr>
          <w:rFonts w:ascii="Times New Roman" w:hAnsi="Times New Roman"/>
          <w:bCs/>
          <w:sz w:val="24"/>
          <w:szCs w:val="24"/>
        </w:rPr>
      </w:pPr>
      <w:r w:rsidRPr="00E56E46">
        <w:rPr>
          <w:rFonts w:ascii="Times New Roman" w:hAnsi="Times New Roman"/>
          <w:bCs/>
          <w:sz w:val="24"/>
          <w:szCs w:val="24"/>
        </w:rPr>
        <w:t>Supported 110 transitional group home beds in locations throughout the state. </w:t>
      </w:r>
      <w:proofErr w:type="gramStart"/>
      <w:r w:rsidRPr="00E56E46">
        <w:rPr>
          <w:rFonts w:ascii="Times New Roman" w:hAnsi="Times New Roman"/>
          <w:bCs/>
          <w:sz w:val="24"/>
          <w:szCs w:val="24"/>
        </w:rPr>
        <w:t>All of</w:t>
      </w:r>
      <w:proofErr w:type="gramEnd"/>
      <w:r w:rsidRPr="00E56E46">
        <w:rPr>
          <w:rFonts w:ascii="Times New Roman" w:hAnsi="Times New Roman"/>
          <w:bCs/>
          <w:sz w:val="24"/>
          <w:szCs w:val="24"/>
        </w:rPr>
        <w:t xml:space="preserve"> these beds are used exclusively for individuals discharging from state hospitals.</w:t>
      </w:r>
    </w:p>
    <w:p w14:paraId="64B56625" w14:textId="77777777" w:rsidR="005322E4" w:rsidRPr="00E56E46" w:rsidRDefault="005322E4" w:rsidP="009054AA">
      <w:pPr>
        <w:pStyle w:val="NoSpacing"/>
        <w:numPr>
          <w:ilvl w:val="0"/>
          <w:numId w:val="37"/>
        </w:numPr>
        <w:ind w:left="1080"/>
        <w:rPr>
          <w:rFonts w:ascii="Times New Roman" w:hAnsi="Times New Roman"/>
          <w:bCs/>
          <w:sz w:val="24"/>
          <w:szCs w:val="24"/>
        </w:rPr>
      </w:pPr>
      <w:r w:rsidRPr="00E56E46">
        <w:rPr>
          <w:rFonts w:ascii="Times New Roman" w:hAnsi="Times New Roman"/>
          <w:bCs/>
          <w:sz w:val="24"/>
          <w:szCs w:val="24"/>
        </w:rPr>
        <w:t>Served 130 individuals in transitional group homes.</w:t>
      </w:r>
    </w:p>
    <w:p w14:paraId="1E1C73F5" w14:textId="77777777" w:rsidR="005322E4" w:rsidRPr="00E56E46" w:rsidRDefault="005322E4" w:rsidP="009054AA">
      <w:pPr>
        <w:pStyle w:val="NoSpacing"/>
        <w:numPr>
          <w:ilvl w:val="0"/>
          <w:numId w:val="37"/>
        </w:numPr>
        <w:ind w:left="1080"/>
        <w:rPr>
          <w:rFonts w:ascii="Times New Roman" w:hAnsi="Times New Roman"/>
          <w:bCs/>
          <w:sz w:val="24"/>
          <w:szCs w:val="24"/>
        </w:rPr>
      </w:pPr>
      <w:r w:rsidRPr="00E56E46">
        <w:rPr>
          <w:rFonts w:ascii="Times New Roman" w:hAnsi="Times New Roman"/>
          <w:bCs/>
          <w:sz w:val="24"/>
          <w:szCs w:val="24"/>
        </w:rPr>
        <w:t>Served 170 individuals in assisted living facilities.  </w:t>
      </w:r>
    </w:p>
    <w:p w14:paraId="449941AA" w14:textId="77777777" w:rsidR="005322E4" w:rsidRPr="00E56E46" w:rsidRDefault="005322E4" w:rsidP="009054AA">
      <w:pPr>
        <w:pStyle w:val="NoSpacing"/>
        <w:numPr>
          <w:ilvl w:val="0"/>
          <w:numId w:val="37"/>
        </w:numPr>
        <w:ind w:left="1080"/>
        <w:rPr>
          <w:rFonts w:ascii="Times New Roman" w:hAnsi="Times New Roman"/>
          <w:bCs/>
          <w:sz w:val="24"/>
          <w:szCs w:val="24"/>
        </w:rPr>
      </w:pPr>
      <w:r w:rsidRPr="00E56E46">
        <w:rPr>
          <w:rFonts w:ascii="Times New Roman" w:eastAsia="Times New Roman" w:hAnsi="Times New Roman"/>
          <w:bCs/>
          <w:sz w:val="24"/>
          <w:szCs w:val="24"/>
        </w:rPr>
        <w:t>Added an additional transitional group for adolescents discharging from CCCA.</w:t>
      </w:r>
    </w:p>
    <w:p w14:paraId="4678F16C" w14:textId="77777777" w:rsidR="005322E4" w:rsidRPr="00E56E46" w:rsidRDefault="005322E4" w:rsidP="009054AA">
      <w:pPr>
        <w:pStyle w:val="NoSpacing"/>
        <w:numPr>
          <w:ilvl w:val="0"/>
          <w:numId w:val="37"/>
        </w:numPr>
        <w:ind w:left="1080"/>
        <w:rPr>
          <w:rFonts w:ascii="Times New Roman" w:eastAsia="Symbol" w:hAnsi="Times New Roman"/>
          <w:bCs/>
          <w:sz w:val="24"/>
          <w:szCs w:val="24"/>
        </w:rPr>
      </w:pPr>
      <w:r w:rsidRPr="00E56E46">
        <w:rPr>
          <w:rFonts w:ascii="Times New Roman" w:eastAsia="Times New Roman" w:hAnsi="Times New Roman"/>
          <w:bCs/>
          <w:sz w:val="24"/>
          <w:szCs w:val="24"/>
        </w:rPr>
        <w:t xml:space="preserve">Partnered with Mount Rogers CSB and Valley Healthcare in Chilhowie to continue to operate a specialized behavioral health unit at the Valley facility for individuals discharging from state hospitals. In FY 2022, the program served 50 individuals needing nursing home level of care who discharged from state facilities.  </w:t>
      </w:r>
    </w:p>
    <w:p w14:paraId="28D28DD5" w14:textId="77777777" w:rsidR="005322E4" w:rsidRPr="00507DA1" w:rsidRDefault="005322E4" w:rsidP="009054AA">
      <w:pPr>
        <w:pStyle w:val="NoSpacing"/>
        <w:numPr>
          <w:ilvl w:val="0"/>
          <w:numId w:val="37"/>
        </w:numPr>
        <w:ind w:left="1080"/>
        <w:rPr>
          <w:rFonts w:ascii="Times New Roman" w:hAnsi="Times New Roman"/>
          <w:sz w:val="24"/>
          <w:szCs w:val="24"/>
        </w:rPr>
      </w:pPr>
      <w:r w:rsidRPr="00E56E46">
        <w:rPr>
          <w:rFonts w:ascii="Times New Roman" w:eastAsia="Times New Roman" w:hAnsi="Times New Roman"/>
          <w:bCs/>
          <w:sz w:val="24"/>
          <w:szCs w:val="24"/>
        </w:rPr>
        <w:t>Partnered with Western Tidewater CSB and Waverly Nursing Home to create a similar program in eastern Virginia</w:t>
      </w:r>
      <w:r w:rsidRPr="00507DA1">
        <w:rPr>
          <w:rFonts w:ascii="Times New Roman" w:eastAsia="Times New Roman" w:hAnsi="Times New Roman"/>
          <w:sz w:val="24"/>
          <w:szCs w:val="24"/>
        </w:rPr>
        <w:t>. In FY 2022, this program served 20 individuals.</w:t>
      </w:r>
    </w:p>
    <w:p w14:paraId="3097F6CD" w14:textId="77777777" w:rsidR="005322E4" w:rsidRPr="00507DA1" w:rsidRDefault="005322E4" w:rsidP="009054AA">
      <w:pPr>
        <w:pStyle w:val="NoSpacing"/>
        <w:numPr>
          <w:ilvl w:val="0"/>
          <w:numId w:val="37"/>
        </w:numPr>
        <w:ind w:left="1080"/>
        <w:rPr>
          <w:rFonts w:ascii="Times New Roman" w:hAnsi="Times New Roman"/>
          <w:sz w:val="24"/>
          <w:szCs w:val="24"/>
        </w:rPr>
      </w:pPr>
      <w:r w:rsidRPr="00507DA1">
        <w:rPr>
          <w:rFonts w:ascii="Times New Roman" w:eastAsia="Times New Roman" w:hAnsi="Times New Roman"/>
          <w:sz w:val="24"/>
          <w:szCs w:val="24"/>
        </w:rPr>
        <w:t>Funded two new programs focusing on assisting individuals with dementia who have been hospitalized at or are at risk of state hospitalization, and their families and caregivers, including an expansion of the Northern Virginia RAFT (Regional Older Adults Facilities Mental Health Support Team) to include a component that specifically focuses on individuals with dementia, as well as a facility in Southwest Virginia that will focus on serving individuals with dementia who have lost their housing or are unable to continue to live in their family home.</w:t>
      </w:r>
    </w:p>
    <w:p w14:paraId="50E3E8D1" w14:textId="77777777" w:rsidR="005322E4" w:rsidRPr="00507DA1" w:rsidRDefault="005322E4" w:rsidP="009054AA">
      <w:pPr>
        <w:pStyle w:val="NoSpacing"/>
        <w:numPr>
          <w:ilvl w:val="0"/>
          <w:numId w:val="37"/>
        </w:numPr>
        <w:ind w:left="1080"/>
        <w:rPr>
          <w:rFonts w:ascii="Times New Roman" w:hAnsi="Times New Roman"/>
          <w:sz w:val="24"/>
          <w:szCs w:val="24"/>
        </w:rPr>
      </w:pPr>
      <w:r w:rsidRPr="00507DA1">
        <w:rPr>
          <w:rFonts w:ascii="Times New Roman" w:eastAsia="Times New Roman" w:hAnsi="Times New Roman"/>
          <w:sz w:val="24"/>
          <w:szCs w:val="24"/>
        </w:rPr>
        <w:lastRenderedPageBreak/>
        <w:t>Assisted Western Tidewater CSB in developing a new community and residential program that focuses on serving individuals with traumatic brain injury who are at risk of hospitalization at state hospitals or are discharging from a state hospital.</w:t>
      </w:r>
    </w:p>
    <w:p w14:paraId="03ACB447" w14:textId="77777777" w:rsidR="00E26CE7" w:rsidRDefault="00E26CE7" w:rsidP="005322E4">
      <w:pPr>
        <w:pStyle w:val="paragraph"/>
        <w:spacing w:before="0" w:beforeAutospacing="0" w:after="0" w:afterAutospacing="0"/>
        <w:textAlignment w:val="baseline"/>
        <w:rPr>
          <w:rStyle w:val="normaltextrun"/>
          <w:b/>
          <w:i/>
        </w:rPr>
      </w:pPr>
    </w:p>
    <w:p w14:paraId="5F0A33E4" w14:textId="31116717" w:rsidR="005322E4" w:rsidRPr="00E26CE7" w:rsidRDefault="005322E4" w:rsidP="005322E4">
      <w:pPr>
        <w:pStyle w:val="paragraph"/>
        <w:spacing w:before="0" w:beforeAutospacing="0" w:after="0" w:afterAutospacing="0"/>
        <w:textAlignment w:val="baseline"/>
        <w:rPr>
          <w:rStyle w:val="normaltextrun"/>
          <w:b/>
          <w:i/>
          <w:sz w:val="26"/>
          <w:szCs w:val="26"/>
        </w:rPr>
      </w:pPr>
      <w:r w:rsidRPr="00E26CE7">
        <w:rPr>
          <w:rStyle w:val="normaltextrun"/>
          <w:b/>
          <w:i/>
          <w:sz w:val="26"/>
          <w:szCs w:val="26"/>
        </w:rPr>
        <w:t>Facility Milestones</w:t>
      </w:r>
    </w:p>
    <w:p w14:paraId="2575AA2A" w14:textId="77777777" w:rsidR="005322E4" w:rsidRPr="00E56E46" w:rsidRDefault="005322E4" w:rsidP="009054AA">
      <w:pPr>
        <w:pStyle w:val="ListParagraph"/>
        <w:numPr>
          <w:ilvl w:val="0"/>
          <w:numId w:val="33"/>
        </w:numPr>
        <w:shd w:val="clear" w:color="auto" w:fill="FFFFFF" w:themeFill="background1"/>
        <w:spacing w:line="240" w:lineRule="auto"/>
        <w:ind w:left="540"/>
        <w:rPr>
          <w:rFonts w:ascii="Times New Roman" w:hAnsi="Times New Roman"/>
          <w:color w:val="222222"/>
          <w:sz w:val="24"/>
          <w:szCs w:val="24"/>
        </w:rPr>
      </w:pPr>
      <w:r w:rsidRPr="00E56E46">
        <w:rPr>
          <w:rFonts w:ascii="Times New Roman" w:hAnsi="Times New Roman"/>
          <w:color w:val="222222"/>
          <w:sz w:val="24"/>
          <w:szCs w:val="24"/>
        </w:rPr>
        <w:t>Catawba Hospital achieved Joint Commission deemed status as a Behavioral Health Hospital during FY 2022.</w:t>
      </w:r>
    </w:p>
    <w:p w14:paraId="2E0DDC29" w14:textId="77777777" w:rsidR="005322E4" w:rsidRPr="00E56E46" w:rsidRDefault="005322E4" w:rsidP="009054AA">
      <w:pPr>
        <w:pStyle w:val="ListParagraph"/>
        <w:numPr>
          <w:ilvl w:val="0"/>
          <w:numId w:val="33"/>
        </w:numPr>
        <w:shd w:val="clear" w:color="auto" w:fill="FFFFFF" w:themeFill="background1"/>
        <w:spacing w:line="240" w:lineRule="auto"/>
        <w:ind w:left="540"/>
        <w:rPr>
          <w:rFonts w:ascii="Times New Roman" w:hAnsi="Times New Roman"/>
          <w:color w:val="222222"/>
          <w:sz w:val="24"/>
          <w:szCs w:val="24"/>
        </w:rPr>
      </w:pPr>
      <w:r w:rsidRPr="00E56E46">
        <w:rPr>
          <w:rFonts w:ascii="Times New Roman" w:hAnsi="Times New Roman"/>
          <w:color w:val="222222"/>
          <w:sz w:val="24"/>
          <w:szCs w:val="24"/>
        </w:rPr>
        <w:t xml:space="preserve">The Commonwealth Center for Children and Adolescents achieved Joint Commission accreditation as a Behavioral Health Hospital in June 2022.  </w:t>
      </w:r>
      <w:r w:rsidRPr="00E56E46">
        <w:rPr>
          <w:rFonts w:ascii="Times New Roman" w:hAnsi="Times New Roman"/>
          <w:sz w:val="24"/>
          <w:szCs w:val="24"/>
        </w:rPr>
        <w:t xml:space="preserve"> </w:t>
      </w:r>
    </w:p>
    <w:p w14:paraId="64C3CEA2" w14:textId="078FD86E" w:rsidR="005322E4" w:rsidRPr="00E56E46" w:rsidRDefault="005322E4" w:rsidP="009054AA">
      <w:pPr>
        <w:pStyle w:val="ListParagraph"/>
        <w:numPr>
          <w:ilvl w:val="0"/>
          <w:numId w:val="31"/>
        </w:numPr>
        <w:spacing w:line="240" w:lineRule="auto"/>
        <w:ind w:left="540"/>
        <w:rPr>
          <w:rFonts w:ascii="Times New Roman" w:hAnsi="Times New Roman"/>
          <w:sz w:val="24"/>
          <w:szCs w:val="24"/>
        </w:rPr>
      </w:pPr>
      <w:r w:rsidRPr="00E56E46">
        <w:rPr>
          <w:rFonts w:ascii="Times New Roman" w:hAnsi="Times New Roman"/>
          <w:sz w:val="24"/>
          <w:szCs w:val="24"/>
        </w:rPr>
        <w:t>The Virginia Center for Behavioral Rehabilitation</w:t>
      </w:r>
      <w:r w:rsidRPr="00E56E46">
        <w:rPr>
          <w:rFonts w:ascii="Times New Roman" w:hAnsi="Times New Roman"/>
          <w:color w:val="222222"/>
          <w:sz w:val="24"/>
          <w:szCs w:val="24"/>
        </w:rPr>
        <w:t xml:space="preserve"> continues to lead the nation in the number of individuals successfully discharged from a sexually violent predator civil commitment facility.  </w:t>
      </w:r>
    </w:p>
    <w:p w14:paraId="46DB1077" w14:textId="77777777" w:rsidR="005322E4" w:rsidRPr="00895E95" w:rsidRDefault="005322E4" w:rsidP="009054AA">
      <w:pPr>
        <w:pStyle w:val="ListParagraph"/>
        <w:numPr>
          <w:ilvl w:val="0"/>
          <w:numId w:val="31"/>
        </w:numPr>
        <w:spacing w:line="240" w:lineRule="auto"/>
        <w:ind w:left="540"/>
        <w:rPr>
          <w:rFonts w:ascii="Times New Roman" w:hAnsi="Times New Roman"/>
          <w:b/>
          <w:sz w:val="24"/>
          <w:szCs w:val="24"/>
        </w:rPr>
      </w:pPr>
      <w:r w:rsidRPr="00E56E46">
        <w:rPr>
          <w:rFonts w:ascii="Times New Roman" w:hAnsi="Times New Roman"/>
          <w:color w:val="222222"/>
          <w:sz w:val="24"/>
          <w:szCs w:val="24"/>
        </w:rPr>
        <w:t xml:space="preserve">Eastern State Hospital received the </w:t>
      </w:r>
      <w:r w:rsidRPr="00E56E46">
        <w:rPr>
          <w:rFonts w:ascii="Times New Roman" w:hAnsi="Times New Roman"/>
          <w:sz w:val="24"/>
          <w:szCs w:val="24"/>
        </w:rPr>
        <w:t xml:space="preserve">Malcolm Baldrige Quality Award. </w:t>
      </w:r>
      <w:r w:rsidRPr="00E56E46">
        <w:rPr>
          <w:rFonts w:ascii="Times New Roman" w:hAnsi="Times New Roman"/>
          <w:color w:val="090909"/>
          <w:sz w:val="24"/>
          <w:szCs w:val="24"/>
        </w:rPr>
        <w:t>The Malcolm Baldrige National Quality Award</w:t>
      </w:r>
      <w:r w:rsidRPr="00895E95">
        <w:rPr>
          <w:rFonts w:ascii="Times New Roman" w:hAnsi="Times New Roman"/>
          <w:color w:val="090909"/>
          <w:sz w:val="24"/>
          <w:szCs w:val="24"/>
        </w:rPr>
        <w:t xml:space="preserve"> (MBNQA) is an award established by the U.S. Congress in 1987 to raise awareness of quality management and recognize U.S. companies that have implemented successful </w:t>
      </w:r>
      <w:r w:rsidRPr="00895E95">
        <w:rPr>
          <w:rFonts w:ascii="Times New Roman" w:eastAsia="Helvetica" w:hAnsi="Times New Roman"/>
          <w:sz w:val="24"/>
          <w:szCs w:val="24"/>
        </w:rPr>
        <w:t>quality management systems</w:t>
      </w:r>
      <w:r w:rsidRPr="00895E95">
        <w:rPr>
          <w:rFonts w:ascii="Times New Roman" w:hAnsi="Times New Roman"/>
          <w:color w:val="090909"/>
          <w:sz w:val="24"/>
          <w:szCs w:val="24"/>
        </w:rPr>
        <w:t>. The award is the nation</w:t>
      </w:r>
      <w:r>
        <w:rPr>
          <w:rFonts w:ascii="Times New Roman" w:hAnsi="Times New Roman"/>
          <w:color w:val="090909"/>
          <w:sz w:val="24"/>
          <w:szCs w:val="24"/>
        </w:rPr>
        <w:t>’</w:t>
      </w:r>
      <w:r w:rsidRPr="00895E95">
        <w:rPr>
          <w:rFonts w:ascii="Times New Roman" w:hAnsi="Times New Roman"/>
          <w:color w:val="090909"/>
          <w:sz w:val="24"/>
          <w:szCs w:val="24"/>
        </w:rPr>
        <w:t xml:space="preserve">s highest presidential honor for </w:t>
      </w:r>
      <w:r w:rsidRPr="00895E95">
        <w:rPr>
          <w:rFonts w:ascii="Times New Roman" w:eastAsia="Helvetica" w:hAnsi="Times New Roman"/>
          <w:sz w:val="24"/>
          <w:szCs w:val="24"/>
        </w:rPr>
        <w:t>performance excellence</w:t>
      </w:r>
      <w:r w:rsidRPr="00895E95">
        <w:rPr>
          <w:rFonts w:ascii="Times New Roman" w:hAnsi="Times New Roman"/>
          <w:color w:val="090909"/>
          <w:sz w:val="24"/>
          <w:szCs w:val="24"/>
        </w:rPr>
        <w:t>.</w:t>
      </w:r>
    </w:p>
    <w:p w14:paraId="39FD2B75" w14:textId="77777777" w:rsidR="000919BD" w:rsidRPr="00CF68C9" w:rsidRDefault="000919BD" w:rsidP="00D74AEB">
      <w:pPr>
        <w:rPr>
          <w:b/>
          <w:i/>
          <w:iCs/>
        </w:rPr>
      </w:pPr>
      <w:r w:rsidRPr="00CF68C9">
        <w:rPr>
          <w:b/>
          <w:i/>
          <w:iCs/>
        </w:rPr>
        <w:t>Forensic Population and State Hospitals </w:t>
      </w:r>
    </w:p>
    <w:p w14:paraId="693BA4B7" w14:textId="77777777" w:rsidR="00E53B9E" w:rsidRPr="001C3A26" w:rsidRDefault="00E53B9E" w:rsidP="009054AA">
      <w:pPr>
        <w:pStyle w:val="NormalWeb"/>
        <w:numPr>
          <w:ilvl w:val="0"/>
          <w:numId w:val="27"/>
        </w:numPr>
        <w:shd w:val="clear" w:color="auto" w:fill="FFFFFF" w:themeFill="background1"/>
        <w:spacing w:before="0" w:beforeAutospacing="0" w:after="0" w:afterAutospacing="0"/>
        <w:ind w:left="540"/>
        <w:textAlignment w:val="baseline"/>
      </w:pPr>
      <w:r>
        <w:t xml:space="preserve">There were 1,928 forensic admissions to state hospitals. </w:t>
      </w:r>
    </w:p>
    <w:p w14:paraId="314B5C74" w14:textId="6CB97D58" w:rsidR="00E53B9E" w:rsidRPr="001C3A26" w:rsidRDefault="00E53B9E" w:rsidP="009054AA">
      <w:pPr>
        <w:pStyle w:val="NormalWeb"/>
        <w:numPr>
          <w:ilvl w:val="0"/>
          <w:numId w:val="27"/>
        </w:numPr>
        <w:spacing w:before="0" w:beforeAutospacing="0" w:after="0" w:afterAutospacing="0" w:line="259" w:lineRule="auto"/>
        <w:ind w:left="540"/>
      </w:pPr>
      <w:r>
        <w:t>There were 355 outpatient restoration cases paid.</w:t>
      </w:r>
    </w:p>
    <w:p w14:paraId="4078F7FA" w14:textId="01597A8E" w:rsidR="000919BD" w:rsidRPr="001C3A26" w:rsidRDefault="000919BD" w:rsidP="009054AA">
      <w:pPr>
        <w:pStyle w:val="NormalWeb"/>
        <w:numPr>
          <w:ilvl w:val="0"/>
          <w:numId w:val="27"/>
        </w:numPr>
        <w:shd w:val="clear" w:color="auto" w:fill="FFFFFF" w:themeFill="background1"/>
        <w:spacing w:before="0" w:beforeAutospacing="0" w:after="0" w:afterAutospacing="0"/>
        <w:ind w:left="540"/>
        <w:textAlignment w:val="baseline"/>
      </w:pPr>
      <w:r>
        <w:t>Since FY 2019, there have been 85 outpatient temporary custody orders. These efforts result in approximately 25,075</w:t>
      </w:r>
      <w:r w:rsidR="00E34D0C">
        <w:t xml:space="preserve"> </w:t>
      </w:r>
      <w:r>
        <w:t xml:space="preserve">occupied state hospital bed days that were saved. In FY 2022, there were 27 outpatient temporary custody orders, resulting in 3,969 occupied state hospital bed days saved. </w:t>
      </w:r>
    </w:p>
    <w:p w14:paraId="7BCE0ECE" w14:textId="77777777" w:rsidR="000919BD" w:rsidRPr="001C3A26" w:rsidRDefault="000919BD" w:rsidP="009054AA">
      <w:pPr>
        <w:pStyle w:val="NormalWeb"/>
        <w:numPr>
          <w:ilvl w:val="0"/>
          <w:numId w:val="27"/>
        </w:numPr>
        <w:shd w:val="clear" w:color="auto" w:fill="FFFFFF"/>
        <w:spacing w:before="0" w:beforeAutospacing="0" w:after="0" w:afterAutospacing="0"/>
        <w:ind w:left="540"/>
        <w:textAlignment w:val="baseline"/>
      </w:pPr>
      <w:r>
        <w:t>Accommodations were made due to COVID-19 to allow the evaluator the option of conducting their evaluations via video conferencing for all commissioner-appointed not guilty by reason of insanity (NGRI) evaluations.</w:t>
      </w:r>
    </w:p>
    <w:p w14:paraId="5240282B" w14:textId="38C4704D" w:rsidR="000919BD" w:rsidRDefault="000919BD" w:rsidP="009054AA">
      <w:pPr>
        <w:pStyle w:val="NormalWeb"/>
        <w:numPr>
          <w:ilvl w:val="0"/>
          <w:numId w:val="27"/>
        </w:numPr>
        <w:shd w:val="clear" w:color="auto" w:fill="FFFFFF" w:themeFill="background1"/>
        <w:spacing w:before="0" w:beforeAutospacing="0" w:after="0" w:afterAutospacing="0"/>
        <w:ind w:left="540"/>
        <w:textAlignment w:val="baseline"/>
      </w:pPr>
      <w:r>
        <w:t>Hospitals successfully managed the pending forensic admission list. The vast majority of were admitted within ten days despite the additional challenges from COVID-19 and the growing number of court orders. </w:t>
      </w:r>
    </w:p>
    <w:p w14:paraId="0251D689" w14:textId="77777777" w:rsidR="000919BD" w:rsidRPr="00B62B54" w:rsidRDefault="000919BD" w:rsidP="000919BD"/>
    <w:p w14:paraId="18A0023D" w14:textId="77777777" w:rsidR="000919BD" w:rsidRPr="00B62B54" w:rsidRDefault="000919BD" w:rsidP="000919BD">
      <w:pPr>
        <w:pStyle w:val="NormalWeb"/>
        <w:shd w:val="clear" w:color="auto" w:fill="FFFFFF"/>
        <w:spacing w:before="0" w:beforeAutospacing="0" w:after="0" w:afterAutospacing="0"/>
        <w:textAlignment w:val="baseline"/>
        <w:rPr>
          <w:b/>
          <w:i/>
          <w:iCs/>
        </w:rPr>
      </w:pPr>
      <w:r w:rsidRPr="00B62B54">
        <w:rPr>
          <w:b/>
          <w:i/>
          <w:iCs/>
        </w:rPr>
        <w:t>Jail Diversion  </w:t>
      </w:r>
    </w:p>
    <w:p w14:paraId="4D82A80B" w14:textId="77777777" w:rsidR="000919BD" w:rsidRPr="00B62B54" w:rsidRDefault="000919BD" w:rsidP="009054AA">
      <w:pPr>
        <w:pStyle w:val="NormalWeb"/>
        <w:numPr>
          <w:ilvl w:val="0"/>
          <w:numId w:val="30"/>
        </w:numPr>
        <w:shd w:val="clear" w:color="auto" w:fill="FFFFFF" w:themeFill="background1"/>
        <w:spacing w:before="0" w:beforeAutospacing="0" w:after="0" w:afterAutospacing="0"/>
        <w:ind w:left="540"/>
        <w:textAlignment w:val="baseline"/>
      </w:pPr>
      <w:r>
        <w:t>Provided oversight and support to 12 jail diversion programs.</w:t>
      </w:r>
    </w:p>
    <w:p w14:paraId="28757C39" w14:textId="77777777" w:rsidR="000919BD" w:rsidRPr="00B62B54" w:rsidRDefault="000919BD" w:rsidP="009054AA">
      <w:pPr>
        <w:pStyle w:val="NormalWeb"/>
        <w:numPr>
          <w:ilvl w:val="0"/>
          <w:numId w:val="30"/>
        </w:numPr>
        <w:shd w:val="clear" w:color="auto" w:fill="FFFFFF" w:themeFill="background1"/>
        <w:spacing w:before="0" w:beforeAutospacing="0" w:after="0" w:afterAutospacing="0"/>
        <w:ind w:left="540"/>
        <w:textAlignment w:val="baseline"/>
      </w:pPr>
      <w:r>
        <w:t>Provided oversight and support to nine forensic discharge planning programs at five regional jails, eight local jails, and in collaboration with 16 CSBs.</w:t>
      </w:r>
    </w:p>
    <w:p w14:paraId="3E2B6276" w14:textId="418D1AE9" w:rsidR="000919BD" w:rsidRPr="00B62B54" w:rsidRDefault="000919BD" w:rsidP="009054AA">
      <w:pPr>
        <w:pStyle w:val="NormalWeb"/>
        <w:numPr>
          <w:ilvl w:val="0"/>
          <w:numId w:val="30"/>
        </w:numPr>
        <w:shd w:val="clear" w:color="auto" w:fill="FFFFFF" w:themeFill="background1"/>
        <w:spacing w:before="0" w:beforeAutospacing="0" w:after="0" w:afterAutospacing="0"/>
        <w:ind w:left="540"/>
        <w:textAlignment w:val="baseline"/>
      </w:pPr>
      <w:r w:rsidRPr="00B62B54">
        <w:rPr>
          <w:shd w:val="clear" w:color="auto" w:fill="FFFFFF"/>
        </w:rPr>
        <w:t>Partially fund</w:t>
      </w:r>
      <w:r>
        <w:rPr>
          <w:shd w:val="clear" w:color="auto" w:fill="FFFFFF"/>
        </w:rPr>
        <w:t>ed behavioral health d</w:t>
      </w:r>
      <w:r w:rsidRPr="00B62B54">
        <w:rPr>
          <w:shd w:val="clear" w:color="auto" w:fill="FFFFFF"/>
        </w:rPr>
        <w:t>ockets at Arlington, Blue Ridge, Richmond,</w:t>
      </w:r>
      <w:r w:rsidR="00E34D0C">
        <w:rPr>
          <w:shd w:val="clear" w:color="auto" w:fill="FFFFFF"/>
        </w:rPr>
        <w:t xml:space="preserve"> </w:t>
      </w:r>
      <w:r w:rsidRPr="00B62B54">
        <w:rPr>
          <w:shd w:val="clear" w:color="auto" w:fill="FFFFFF"/>
        </w:rPr>
        <w:t>and Valley CSBs.</w:t>
      </w:r>
    </w:p>
    <w:p w14:paraId="70C58359" w14:textId="77777777" w:rsidR="000919BD" w:rsidRPr="00B62B54" w:rsidRDefault="000919BD" w:rsidP="009054AA">
      <w:pPr>
        <w:pStyle w:val="ListParagraph"/>
        <w:numPr>
          <w:ilvl w:val="0"/>
          <w:numId w:val="30"/>
        </w:numPr>
        <w:spacing w:after="0" w:line="240" w:lineRule="auto"/>
        <w:ind w:left="540"/>
        <w:textAlignment w:val="baseline"/>
        <w:rPr>
          <w:rFonts w:ascii="Times New Roman" w:eastAsia="Times New Roman" w:hAnsi="Times New Roman"/>
          <w:sz w:val="24"/>
          <w:szCs w:val="24"/>
        </w:rPr>
      </w:pPr>
      <w:r w:rsidRPr="047973BC">
        <w:rPr>
          <w:rFonts w:ascii="Times New Roman" w:eastAsia="Times New Roman" w:hAnsi="Times New Roman"/>
          <w:sz w:val="24"/>
          <w:szCs w:val="24"/>
        </w:rPr>
        <w:t xml:space="preserve">Provided oversight and support to the 38 CSBs and 38 crisis intervention teams (CIT) assessment sites. </w:t>
      </w:r>
    </w:p>
    <w:p w14:paraId="53C7F3A4" w14:textId="04A8893D" w:rsidR="000919BD" w:rsidRPr="00B62B54" w:rsidRDefault="00E34D0C" w:rsidP="005322E4">
      <w:pPr>
        <w:shd w:val="clear" w:color="auto" w:fill="FFFFFF"/>
        <w:textAlignment w:val="baseline"/>
        <w:rPr>
          <w:b/>
          <w:bCs/>
          <w:i/>
          <w:iCs/>
        </w:rPr>
      </w:pPr>
      <w:r>
        <w:rPr>
          <w:b/>
          <w:i/>
        </w:rPr>
        <w:br/>
      </w:r>
      <w:r w:rsidR="000919BD" w:rsidRPr="500763EC">
        <w:rPr>
          <w:b/>
          <w:bCs/>
          <w:i/>
          <w:iCs/>
        </w:rPr>
        <w:t>Juvenile Competency Restoration and Evaluation </w:t>
      </w:r>
    </w:p>
    <w:p w14:paraId="38DAC354" w14:textId="77777777" w:rsidR="000919BD" w:rsidRPr="00B62B54" w:rsidRDefault="000919BD" w:rsidP="009054AA">
      <w:pPr>
        <w:pStyle w:val="ListParagraph"/>
        <w:numPr>
          <w:ilvl w:val="0"/>
          <w:numId w:val="29"/>
        </w:numPr>
        <w:shd w:val="clear" w:color="auto" w:fill="FFFFFF" w:themeFill="background1"/>
        <w:spacing w:after="0" w:line="240" w:lineRule="auto"/>
        <w:ind w:left="540"/>
        <w:textAlignment w:val="baseline"/>
        <w:rPr>
          <w:rFonts w:ascii="Times New Roman" w:eastAsia="Times New Roman" w:hAnsi="Times New Roman"/>
          <w:sz w:val="24"/>
          <w:szCs w:val="24"/>
        </w:rPr>
      </w:pPr>
      <w:r w:rsidRPr="500763EC">
        <w:rPr>
          <w:rFonts w:ascii="Times New Roman" w:eastAsia="Times New Roman" w:hAnsi="Times New Roman"/>
          <w:sz w:val="24"/>
          <w:szCs w:val="24"/>
        </w:rPr>
        <w:t>At the close of FY 2022, the Juvenile Competency Restoration Program had 155 new court orders to provide juvenile restoration services across the Commonwealth. At no time was a hospital bed at CCCA used to provide juvenile restoration services.  </w:t>
      </w:r>
    </w:p>
    <w:p w14:paraId="3B8444CF" w14:textId="77777777" w:rsidR="000919BD" w:rsidRPr="00B62B54" w:rsidRDefault="000919BD" w:rsidP="009054AA">
      <w:pPr>
        <w:pStyle w:val="ListParagraph"/>
        <w:numPr>
          <w:ilvl w:val="0"/>
          <w:numId w:val="29"/>
        </w:numPr>
        <w:shd w:val="clear" w:color="auto" w:fill="FFFFFF" w:themeFill="background1"/>
        <w:spacing w:after="0" w:line="240" w:lineRule="auto"/>
        <w:ind w:left="540"/>
        <w:textAlignment w:val="baseline"/>
        <w:rPr>
          <w:rFonts w:ascii="Times New Roman" w:eastAsia="Times New Roman" w:hAnsi="Times New Roman"/>
          <w:sz w:val="24"/>
          <w:szCs w:val="24"/>
        </w:rPr>
      </w:pPr>
      <w:r w:rsidRPr="500763EC">
        <w:rPr>
          <w:rFonts w:ascii="Times New Roman" w:eastAsia="Times New Roman" w:hAnsi="Times New Roman"/>
          <w:sz w:val="24"/>
          <w:szCs w:val="24"/>
        </w:rPr>
        <w:lastRenderedPageBreak/>
        <w:t>Restoration services are currently being provided in the community with appropriate social distancing, and as allowed by community facilities. </w:t>
      </w:r>
    </w:p>
    <w:p w14:paraId="2F8B9272" w14:textId="00B75224" w:rsidR="000919BD" w:rsidRPr="005322E4" w:rsidRDefault="000919BD" w:rsidP="009054AA">
      <w:pPr>
        <w:pStyle w:val="ListParagraph"/>
        <w:numPr>
          <w:ilvl w:val="0"/>
          <w:numId w:val="29"/>
        </w:numPr>
        <w:shd w:val="clear" w:color="auto" w:fill="FFFFFF" w:themeFill="background1"/>
        <w:spacing w:after="0" w:line="240" w:lineRule="auto"/>
        <w:ind w:left="540"/>
        <w:textAlignment w:val="baseline"/>
        <w:rPr>
          <w:rStyle w:val="eop"/>
          <w:rFonts w:ascii="Times New Roman" w:eastAsia="Times New Roman" w:hAnsi="Times New Roman"/>
          <w:sz w:val="24"/>
          <w:szCs w:val="24"/>
        </w:rPr>
      </w:pPr>
      <w:r w:rsidRPr="500763EC">
        <w:rPr>
          <w:rFonts w:ascii="Times New Roman" w:eastAsia="Times New Roman" w:hAnsi="Times New Roman"/>
          <w:sz w:val="24"/>
          <w:szCs w:val="24"/>
        </w:rPr>
        <w:t>“DJ and Alicia,” an interactive Court DVD, was upgraded and is satisfactory.</w:t>
      </w:r>
      <w:r w:rsidRPr="00D74AEB">
        <w:rPr>
          <w:rStyle w:val="scxw45225346"/>
          <w:color w:val="E36C0A" w:themeColor="accent6" w:themeShade="BF"/>
        </w:rPr>
        <w:t> </w:t>
      </w:r>
      <w:r w:rsidRPr="000C5D2F">
        <w:rPr>
          <w:rStyle w:val="eop"/>
        </w:rPr>
        <w:t> </w:t>
      </w:r>
    </w:p>
    <w:p w14:paraId="13D6E7F4" w14:textId="38036B9D" w:rsidR="005322E4" w:rsidRDefault="005322E4" w:rsidP="005322E4">
      <w:pPr>
        <w:shd w:val="clear" w:color="auto" w:fill="FFFFFF" w:themeFill="background1"/>
        <w:textAlignment w:val="baseline"/>
        <w:rPr>
          <w:rStyle w:val="normaltextrun"/>
        </w:rPr>
      </w:pPr>
    </w:p>
    <w:p w14:paraId="30200AE8" w14:textId="77777777" w:rsidR="005322E4" w:rsidRPr="00452F23" w:rsidRDefault="005322E4" w:rsidP="005322E4">
      <w:pPr>
        <w:pStyle w:val="paragraph"/>
        <w:spacing w:before="0" w:beforeAutospacing="0" w:after="0" w:afterAutospacing="0"/>
        <w:textAlignment w:val="baseline"/>
        <w:rPr>
          <w:rStyle w:val="eop"/>
          <w:b/>
          <w:i/>
        </w:rPr>
      </w:pPr>
      <w:r w:rsidRPr="00452F23">
        <w:rPr>
          <w:rStyle w:val="normaltextrun"/>
          <w:b/>
          <w:i/>
          <w:iCs/>
        </w:rPr>
        <w:t>Millennium Electronic Health Record (EHR) Implementation </w:t>
      </w:r>
      <w:r w:rsidRPr="00452F23">
        <w:rPr>
          <w:rStyle w:val="eop"/>
          <w:b/>
          <w:i/>
        </w:rPr>
        <w:t> </w:t>
      </w:r>
    </w:p>
    <w:p w14:paraId="584F30FC" w14:textId="77777777" w:rsidR="005322E4" w:rsidRPr="001C3A26" w:rsidRDefault="005322E4" w:rsidP="005322E4">
      <w:pPr>
        <w:pStyle w:val="paragraph"/>
        <w:spacing w:before="0" w:beforeAutospacing="0" w:after="0" w:afterAutospacing="0"/>
        <w:textAlignment w:val="baseline"/>
        <w:rPr>
          <w:rStyle w:val="normaltextrun"/>
        </w:rPr>
      </w:pPr>
      <w:r w:rsidRPr="1C0393A0">
        <w:rPr>
          <w:rStyle w:val="normaltextrun"/>
        </w:rPr>
        <w:t>During FY 2022, adoption of Millennium</w:t>
      </w:r>
      <w:r>
        <w:rPr>
          <w:rStyle w:val="normaltextrun"/>
        </w:rPr>
        <w:t xml:space="preserve"> </w:t>
      </w:r>
      <w:r w:rsidRPr="1C0393A0">
        <w:rPr>
          <w:rStyle w:val="normaltextrun"/>
        </w:rPr>
        <w:t xml:space="preserve">continued as enhancements and modifications </w:t>
      </w:r>
      <w:r>
        <w:rPr>
          <w:rStyle w:val="normaltextrun"/>
        </w:rPr>
        <w:t xml:space="preserve">improved </w:t>
      </w:r>
      <w:r w:rsidRPr="1C0393A0">
        <w:rPr>
          <w:rStyle w:val="normaltextrun"/>
        </w:rPr>
        <w:t xml:space="preserve">user workflow and to </w:t>
      </w:r>
      <w:proofErr w:type="spellStart"/>
      <w:r w:rsidRPr="1C0393A0">
        <w:rPr>
          <w:rStyle w:val="normaltextrun"/>
        </w:rPr>
        <w:t>provide</w:t>
      </w:r>
      <w:r>
        <w:rPr>
          <w:rStyle w:val="normaltextrun"/>
        </w:rPr>
        <w:t>d</w:t>
      </w:r>
      <w:proofErr w:type="spellEnd"/>
      <w:r w:rsidRPr="1C0393A0">
        <w:rPr>
          <w:rStyle w:val="normaltextrun"/>
        </w:rPr>
        <w:t xml:space="preserve"> opportunities to improve quality care</w:t>
      </w:r>
      <w:r>
        <w:rPr>
          <w:rStyle w:val="normaltextrun"/>
        </w:rPr>
        <w:t xml:space="preserve">, </w:t>
      </w:r>
      <w:r w:rsidRPr="1C0393A0">
        <w:rPr>
          <w:rStyle w:val="normaltextrun"/>
        </w:rPr>
        <w:t>services</w:t>
      </w:r>
      <w:r>
        <w:rPr>
          <w:rStyle w:val="normaltextrun"/>
        </w:rPr>
        <w:t xml:space="preserve">, and </w:t>
      </w:r>
      <w:r w:rsidRPr="1C0393A0">
        <w:rPr>
          <w:rStyle w:val="normaltextrun"/>
        </w:rPr>
        <w:t xml:space="preserve">end user performance moving forward.  </w:t>
      </w:r>
    </w:p>
    <w:p w14:paraId="76442A84" w14:textId="173EFDFD" w:rsidR="005322E4" w:rsidRDefault="005322E4" w:rsidP="005322E4">
      <w:pPr>
        <w:shd w:val="clear" w:color="auto" w:fill="FFFFFF" w:themeFill="background1"/>
        <w:textAlignment w:val="baseline"/>
        <w:rPr>
          <w:rStyle w:val="normaltextrun"/>
        </w:rPr>
      </w:pPr>
    </w:p>
    <w:p w14:paraId="06C1F658" w14:textId="77777777" w:rsidR="005322E4" w:rsidRPr="00B62B54" w:rsidRDefault="005322E4" w:rsidP="005322E4">
      <w:pPr>
        <w:shd w:val="clear" w:color="auto" w:fill="FFFFFF"/>
        <w:textAlignment w:val="baseline"/>
        <w:rPr>
          <w:b/>
          <w:i/>
        </w:rPr>
      </w:pPr>
      <w:r w:rsidRPr="00B62B54">
        <w:rPr>
          <w:b/>
          <w:i/>
        </w:rPr>
        <w:t xml:space="preserve">Sexually Violent Predator </w:t>
      </w:r>
      <w:r>
        <w:rPr>
          <w:b/>
          <w:i/>
        </w:rPr>
        <w:t xml:space="preserve">(SVP) </w:t>
      </w:r>
      <w:r w:rsidRPr="00B62B54">
        <w:rPr>
          <w:b/>
          <w:i/>
        </w:rPr>
        <w:t>Program</w:t>
      </w:r>
    </w:p>
    <w:p w14:paraId="5A144125" w14:textId="77777777" w:rsidR="005322E4" w:rsidRPr="00B62B54" w:rsidRDefault="005322E4" w:rsidP="009054AA">
      <w:pPr>
        <w:pStyle w:val="ListParagraph"/>
        <w:numPr>
          <w:ilvl w:val="0"/>
          <w:numId w:val="28"/>
        </w:numPr>
        <w:shd w:val="clear" w:color="auto" w:fill="FFFFFF"/>
        <w:spacing w:after="0" w:line="240" w:lineRule="auto"/>
        <w:ind w:left="540"/>
        <w:textAlignment w:val="baseline"/>
        <w:rPr>
          <w:rFonts w:ascii="Times New Roman" w:eastAsia="Times New Roman" w:hAnsi="Times New Roman"/>
          <w:sz w:val="24"/>
          <w:szCs w:val="24"/>
        </w:rPr>
      </w:pPr>
      <w:r w:rsidRPr="00B62B54">
        <w:rPr>
          <w:rFonts w:ascii="Times New Roman" w:eastAsia="Times New Roman" w:hAnsi="Times New Roman"/>
          <w:sz w:val="24"/>
          <w:szCs w:val="24"/>
        </w:rPr>
        <w:t>Continue</w:t>
      </w:r>
      <w:r>
        <w:rPr>
          <w:rFonts w:ascii="Times New Roman" w:eastAsia="Times New Roman" w:hAnsi="Times New Roman"/>
          <w:sz w:val="24"/>
          <w:szCs w:val="24"/>
        </w:rPr>
        <w:t>d</w:t>
      </w:r>
      <w:r w:rsidRPr="00B62B54">
        <w:rPr>
          <w:rFonts w:ascii="Times New Roman" w:eastAsia="Times New Roman" w:hAnsi="Times New Roman"/>
          <w:sz w:val="24"/>
          <w:szCs w:val="24"/>
        </w:rPr>
        <w:t xml:space="preserve"> to facilitate a multi-agency committee to coordinate sex offender treatment services across DBHDS, Department of Corrections (DOC), and community treatment providers. The work of this committee is steadily improving treatment consistency and building a continuum of care and supervision across Virginia. </w:t>
      </w:r>
    </w:p>
    <w:p w14:paraId="5614049A" w14:textId="77777777" w:rsidR="005322E4" w:rsidRPr="00B62B54" w:rsidRDefault="005322E4" w:rsidP="009054AA">
      <w:pPr>
        <w:pStyle w:val="ListParagraph"/>
        <w:numPr>
          <w:ilvl w:val="0"/>
          <w:numId w:val="28"/>
        </w:numPr>
        <w:shd w:val="clear" w:color="auto" w:fill="FFFFFF"/>
        <w:spacing w:after="0" w:line="240" w:lineRule="auto"/>
        <w:ind w:left="540"/>
        <w:textAlignment w:val="baseline"/>
        <w:rPr>
          <w:rFonts w:ascii="Times New Roman" w:eastAsia="Times New Roman" w:hAnsi="Times New Roman"/>
          <w:sz w:val="24"/>
          <w:szCs w:val="24"/>
        </w:rPr>
      </w:pPr>
      <w:r w:rsidRPr="00B62B54">
        <w:rPr>
          <w:rFonts w:ascii="Times New Roman" w:eastAsia="Times New Roman" w:hAnsi="Times New Roman"/>
          <w:sz w:val="24"/>
          <w:szCs w:val="24"/>
        </w:rPr>
        <w:t>Continue</w:t>
      </w:r>
      <w:r>
        <w:rPr>
          <w:rFonts w:ascii="Times New Roman" w:eastAsia="Times New Roman" w:hAnsi="Times New Roman"/>
          <w:sz w:val="24"/>
          <w:szCs w:val="24"/>
        </w:rPr>
        <w:t>d</w:t>
      </w:r>
      <w:r w:rsidRPr="00B62B54">
        <w:rPr>
          <w:rFonts w:ascii="Times New Roman" w:eastAsia="Times New Roman" w:hAnsi="Times New Roman"/>
          <w:sz w:val="24"/>
          <w:szCs w:val="24"/>
        </w:rPr>
        <w:t xml:space="preserve"> to monitor the impact of the updated SVP screening protocol that was developed by DBHDS and DOC. This protocol appears to be successfully reducing the number of SVP evaluations requested and increasing the accuracy of the screening process. </w:t>
      </w:r>
    </w:p>
    <w:p w14:paraId="33042CCA" w14:textId="66C78263" w:rsidR="00D530C5" w:rsidRPr="001920BB" w:rsidRDefault="001F2824" w:rsidP="00F46923">
      <w:pPr>
        <w:pStyle w:val="paragraph"/>
        <w:spacing w:before="0" w:beforeAutospacing="0" w:after="0" w:afterAutospacing="0"/>
        <w:textAlignment w:val="baseline"/>
        <w:rPr>
          <w:rStyle w:val="normaltextrun"/>
          <w:b/>
          <w:bCs/>
          <w:sz w:val="36"/>
          <w:szCs w:val="36"/>
        </w:rPr>
      </w:pPr>
      <w:bookmarkStart w:id="9" w:name="Compliance_Legislation_RegulatoryAffairs"/>
      <w:r>
        <w:rPr>
          <w:rStyle w:val="normaltextrun"/>
          <w:b/>
          <w:bCs/>
          <w:sz w:val="36"/>
          <w:szCs w:val="36"/>
        </w:rPr>
        <w:t>Licensing and Human Rights</w:t>
      </w:r>
    </w:p>
    <w:bookmarkEnd w:id="9"/>
    <w:p w14:paraId="4236FE56" w14:textId="7A54DF14" w:rsidR="00D530C5" w:rsidRDefault="00D530C5" w:rsidP="00F46923">
      <w:pPr>
        <w:pStyle w:val="paragraph"/>
        <w:spacing w:before="0" w:beforeAutospacing="0" w:after="0" w:afterAutospacing="0"/>
        <w:textAlignment w:val="baseline"/>
        <w:rPr>
          <w:rStyle w:val="normaltextrun"/>
          <w:b/>
          <w:bCs/>
          <w:sz w:val="30"/>
          <w:szCs w:val="30"/>
        </w:rPr>
      </w:pPr>
    </w:p>
    <w:p w14:paraId="0585B3C8" w14:textId="2DDC60FA" w:rsidR="005E7165" w:rsidRDefault="005E7165" w:rsidP="00F46923">
      <w:pPr>
        <w:pStyle w:val="paragraph"/>
        <w:spacing w:before="0" w:beforeAutospacing="0" w:after="0" w:afterAutospacing="0"/>
        <w:textAlignment w:val="baseline"/>
        <w:rPr>
          <w:b/>
          <w:bCs/>
          <w:i/>
          <w:iCs/>
          <w:sz w:val="26"/>
          <w:szCs w:val="26"/>
        </w:rPr>
      </w:pPr>
      <w:r>
        <w:rPr>
          <w:rStyle w:val="normaltextrun"/>
          <w:b/>
          <w:i/>
          <w:sz w:val="26"/>
          <w:szCs w:val="26"/>
        </w:rPr>
        <w:t>Licensing</w:t>
      </w:r>
    </w:p>
    <w:p w14:paraId="754EC2DD" w14:textId="630884E5" w:rsidR="005E7165" w:rsidRDefault="00505B8E" w:rsidP="0021779A">
      <w:pPr>
        <w:pStyle w:val="ListParagraph"/>
        <w:numPr>
          <w:ilvl w:val="0"/>
          <w:numId w:val="3"/>
        </w:numPr>
        <w:spacing w:after="0" w:line="240" w:lineRule="auto"/>
        <w:ind w:left="547"/>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CONNECT – </w:t>
      </w:r>
      <w:r w:rsidR="005E7165" w:rsidRPr="38C2310C">
        <w:rPr>
          <w:rFonts w:ascii="Times New Roman" w:eastAsia="Times New Roman" w:hAnsi="Times New Roman"/>
          <w:sz w:val="24"/>
          <w:szCs w:val="24"/>
        </w:rPr>
        <w:t>On November 3, 2021</w:t>
      </w:r>
      <w:r>
        <w:rPr>
          <w:rFonts w:ascii="Times New Roman" w:eastAsia="Times New Roman" w:hAnsi="Times New Roman"/>
          <w:sz w:val="24"/>
          <w:szCs w:val="24"/>
        </w:rPr>
        <w:t>,</w:t>
      </w:r>
      <w:r w:rsidR="005E7165" w:rsidRPr="38C2310C">
        <w:rPr>
          <w:rFonts w:ascii="Times New Roman" w:eastAsia="Times New Roman" w:hAnsi="Times New Roman"/>
          <w:sz w:val="24"/>
          <w:szCs w:val="24"/>
        </w:rPr>
        <w:t xml:space="preserve"> the Office of Licensing </w:t>
      </w:r>
      <w:r>
        <w:rPr>
          <w:rFonts w:ascii="Times New Roman" w:eastAsia="Times New Roman" w:hAnsi="Times New Roman"/>
          <w:sz w:val="24"/>
          <w:szCs w:val="24"/>
        </w:rPr>
        <w:t xml:space="preserve">(OL) </w:t>
      </w:r>
      <w:r w:rsidR="005E7165" w:rsidRPr="38C2310C">
        <w:rPr>
          <w:rFonts w:ascii="Times New Roman" w:eastAsia="Times New Roman" w:hAnsi="Times New Roman"/>
          <w:sz w:val="24"/>
          <w:szCs w:val="24"/>
        </w:rPr>
        <w:t xml:space="preserve">went live with a new online-based licensing system, CONNECT. The goal of the CONNECT system is to provide a </w:t>
      </w:r>
      <w:r>
        <w:rPr>
          <w:rFonts w:ascii="Times New Roman" w:eastAsia="Times New Roman" w:hAnsi="Times New Roman"/>
          <w:sz w:val="24"/>
          <w:szCs w:val="24"/>
        </w:rPr>
        <w:t>w</w:t>
      </w:r>
      <w:r w:rsidR="005E7165" w:rsidRPr="38C2310C">
        <w:rPr>
          <w:rFonts w:ascii="Times New Roman" w:eastAsia="Times New Roman" w:hAnsi="Times New Roman"/>
          <w:sz w:val="24"/>
          <w:szCs w:val="24"/>
        </w:rPr>
        <w:t xml:space="preserve">eb </w:t>
      </w:r>
      <w:r>
        <w:rPr>
          <w:rFonts w:ascii="Times New Roman" w:eastAsia="Times New Roman" w:hAnsi="Times New Roman"/>
          <w:sz w:val="24"/>
          <w:szCs w:val="24"/>
        </w:rPr>
        <w:t>p</w:t>
      </w:r>
      <w:r w:rsidR="005E7165" w:rsidRPr="38C2310C">
        <w:rPr>
          <w:rFonts w:ascii="Times New Roman" w:eastAsia="Times New Roman" w:hAnsi="Times New Roman"/>
          <w:sz w:val="24"/>
          <w:szCs w:val="24"/>
        </w:rPr>
        <w:t xml:space="preserve">ortal that will increase efficiency for providers. The </w:t>
      </w:r>
      <w:r>
        <w:rPr>
          <w:rFonts w:ascii="Times New Roman" w:eastAsia="Times New Roman" w:hAnsi="Times New Roman"/>
          <w:sz w:val="24"/>
          <w:szCs w:val="24"/>
        </w:rPr>
        <w:t>p</w:t>
      </w:r>
      <w:r w:rsidR="005E7165" w:rsidRPr="38C2310C">
        <w:rPr>
          <w:rFonts w:ascii="Times New Roman" w:eastAsia="Times New Roman" w:hAnsi="Times New Roman"/>
          <w:sz w:val="24"/>
          <w:szCs w:val="24"/>
        </w:rPr>
        <w:t>ortal allows providers to</w:t>
      </w:r>
      <w:r>
        <w:rPr>
          <w:rFonts w:ascii="Times New Roman" w:eastAsia="Times New Roman" w:hAnsi="Times New Roman"/>
          <w:sz w:val="24"/>
          <w:szCs w:val="24"/>
        </w:rPr>
        <w:t xml:space="preserve"> submit </w:t>
      </w:r>
      <w:r w:rsidR="005E7165" w:rsidRPr="38C2310C">
        <w:rPr>
          <w:rFonts w:ascii="Times New Roman" w:eastAsia="Times New Roman" w:hAnsi="Times New Roman"/>
          <w:sz w:val="24"/>
          <w:szCs w:val="24"/>
        </w:rPr>
        <w:t xml:space="preserve">electronically all required paperwork such as initial applications, license renewal applications, service modifications, corrective action plans and variances. CONNECT is automated with workflows </w:t>
      </w:r>
      <w:r>
        <w:rPr>
          <w:rFonts w:ascii="Times New Roman" w:eastAsia="Times New Roman" w:hAnsi="Times New Roman"/>
          <w:sz w:val="24"/>
          <w:szCs w:val="24"/>
        </w:rPr>
        <w:t>to</w:t>
      </w:r>
      <w:r w:rsidR="005E7165" w:rsidRPr="38C2310C">
        <w:rPr>
          <w:rFonts w:ascii="Times New Roman" w:eastAsia="Times New Roman" w:hAnsi="Times New Roman"/>
          <w:sz w:val="24"/>
          <w:szCs w:val="24"/>
        </w:rPr>
        <w:t xml:space="preserve"> streamline licensing processes and improve transparency of data and communication with </w:t>
      </w:r>
      <w:r>
        <w:rPr>
          <w:rFonts w:ascii="Times New Roman" w:eastAsia="Times New Roman" w:hAnsi="Times New Roman"/>
          <w:sz w:val="24"/>
          <w:szCs w:val="24"/>
        </w:rPr>
        <w:t>l</w:t>
      </w:r>
      <w:r w:rsidR="005E7165" w:rsidRPr="38C2310C">
        <w:rPr>
          <w:rFonts w:ascii="Times New Roman" w:eastAsia="Times New Roman" w:hAnsi="Times New Roman"/>
          <w:sz w:val="24"/>
          <w:szCs w:val="24"/>
        </w:rPr>
        <w:t>icensing staff, providing real-time information exchange and 24/7 account access.</w:t>
      </w:r>
      <w:r>
        <w:rPr>
          <w:rFonts w:ascii="Times New Roman" w:eastAsia="Times New Roman" w:hAnsi="Times New Roman"/>
          <w:sz w:val="24"/>
          <w:szCs w:val="24"/>
        </w:rPr>
        <w:t xml:space="preserve"> </w:t>
      </w:r>
      <w:r w:rsidR="005E7165" w:rsidRPr="38C2310C">
        <w:rPr>
          <w:rFonts w:ascii="Times New Roman" w:eastAsia="Times New Roman" w:hAnsi="Times New Roman"/>
          <w:sz w:val="24"/>
          <w:szCs w:val="24"/>
        </w:rPr>
        <w:t xml:space="preserve">OL spent hundreds of hours transitioning providers to the new system and providing technical support on utilizing the new functions of the system. </w:t>
      </w:r>
    </w:p>
    <w:p w14:paraId="699695DD" w14:textId="5ACF8896" w:rsidR="005E7165" w:rsidRDefault="00505B8E" w:rsidP="0021779A">
      <w:pPr>
        <w:pStyle w:val="ListParagraph"/>
        <w:numPr>
          <w:ilvl w:val="0"/>
          <w:numId w:val="3"/>
        </w:numPr>
        <w:spacing w:line="240" w:lineRule="auto"/>
        <w:ind w:left="547"/>
        <w:textAlignment w:val="baseline"/>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Regulatory Changes – </w:t>
      </w:r>
      <w:r w:rsidR="005E7165" w:rsidRPr="38C2310C">
        <w:rPr>
          <w:rFonts w:ascii="Times New Roman" w:eastAsia="Times New Roman" w:hAnsi="Times New Roman"/>
          <w:sz w:val="24"/>
          <w:szCs w:val="24"/>
        </w:rPr>
        <w:t xml:space="preserve">The 2020 General Assembly directed DBHDS to utilize emergency authority to promulgate licensing regulations that align with the American Society of Addiction Medicine (ASAM) Levels of Care Criteria “to ensure the provision of outcome-oriented and strengths-based care in the treatment of addiction.” </w:t>
      </w:r>
      <w:r>
        <w:rPr>
          <w:rFonts w:ascii="Times New Roman" w:eastAsia="Times New Roman" w:hAnsi="Times New Roman"/>
          <w:sz w:val="24"/>
          <w:szCs w:val="24"/>
        </w:rPr>
        <w:t>C</w:t>
      </w:r>
      <w:r w:rsidR="005E7165" w:rsidRPr="38C2310C">
        <w:rPr>
          <w:rFonts w:ascii="Times New Roman" w:eastAsia="Times New Roman" w:hAnsi="Times New Roman"/>
          <w:sz w:val="24"/>
          <w:szCs w:val="24"/>
        </w:rPr>
        <w:t xml:space="preserve">hanges were </w:t>
      </w:r>
      <w:r>
        <w:rPr>
          <w:rFonts w:ascii="Times New Roman" w:eastAsia="Times New Roman" w:hAnsi="Times New Roman"/>
          <w:sz w:val="24"/>
          <w:szCs w:val="24"/>
        </w:rPr>
        <w:t xml:space="preserve">also </w:t>
      </w:r>
      <w:r w:rsidR="005E7165" w:rsidRPr="38C2310C">
        <w:rPr>
          <w:rFonts w:ascii="Times New Roman" w:eastAsia="Times New Roman" w:hAnsi="Times New Roman"/>
          <w:sz w:val="24"/>
          <w:szCs w:val="24"/>
        </w:rPr>
        <w:t xml:space="preserve">made to align the licensing regulations with Project BRAVO behavioral health enhancement services. The proposed stage drafts were </w:t>
      </w:r>
      <w:proofErr w:type="gramStart"/>
      <w:r w:rsidR="005E7165" w:rsidRPr="38C2310C">
        <w:rPr>
          <w:rFonts w:ascii="Times New Roman" w:eastAsia="Times New Roman" w:hAnsi="Times New Roman"/>
          <w:sz w:val="24"/>
          <w:szCs w:val="24"/>
        </w:rPr>
        <w:t>published</w:t>
      </w:r>
      <w:proofErr w:type="gramEnd"/>
      <w:r w:rsidR="005E7165" w:rsidRPr="38C2310C">
        <w:rPr>
          <w:rFonts w:ascii="Times New Roman" w:eastAsia="Times New Roman" w:hAnsi="Times New Roman"/>
          <w:sz w:val="24"/>
          <w:szCs w:val="24"/>
        </w:rPr>
        <w:t xml:space="preserve"> and public comment periods were held during FY </w:t>
      </w:r>
      <w:r>
        <w:rPr>
          <w:rFonts w:ascii="Times New Roman" w:eastAsia="Times New Roman" w:hAnsi="Times New Roman"/>
          <w:sz w:val="24"/>
          <w:szCs w:val="24"/>
        </w:rPr>
        <w:t>20</w:t>
      </w:r>
      <w:r w:rsidR="005E7165" w:rsidRPr="38C2310C">
        <w:rPr>
          <w:rFonts w:ascii="Times New Roman" w:eastAsia="Times New Roman" w:hAnsi="Times New Roman"/>
          <w:sz w:val="24"/>
          <w:szCs w:val="24"/>
        </w:rPr>
        <w:t xml:space="preserve">22 for the following actions: Amendments to align with ASAM criteria, Amendments to align with enhanced behavioral health services, Amendments to align with ASAM criteria in children's residential facilities. Lastly, the emergency regulations to align the Children’s Residential Regulations with the Family First Prevention Service Act (FFPSA) became effective January 10, 2022. </w:t>
      </w:r>
    </w:p>
    <w:p w14:paraId="0E4915D9" w14:textId="0D20DA5D" w:rsidR="005E7165" w:rsidRDefault="00505B8E" w:rsidP="0021779A">
      <w:pPr>
        <w:pStyle w:val="ListParagraph"/>
        <w:numPr>
          <w:ilvl w:val="0"/>
          <w:numId w:val="3"/>
        </w:numPr>
        <w:spacing w:line="240" w:lineRule="auto"/>
        <w:ind w:left="547"/>
        <w:textAlignment w:val="baseline"/>
        <w:rPr>
          <w:rFonts w:asciiTheme="minorHAnsi" w:eastAsiaTheme="minorEastAsia" w:hAnsiTheme="minorHAnsi" w:cstheme="minorBidi"/>
          <w:color w:val="000000" w:themeColor="text1"/>
          <w:sz w:val="24"/>
          <w:szCs w:val="24"/>
        </w:rPr>
      </w:pPr>
      <w:r>
        <w:rPr>
          <w:rFonts w:ascii="Times New Roman" w:hAnsi="Times New Roman"/>
          <w:sz w:val="24"/>
          <w:szCs w:val="24"/>
        </w:rPr>
        <w:t xml:space="preserve">Incident Management Unit (IMU) – </w:t>
      </w:r>
      <w:r w:rsidR="005E7165" w:rsidRPr="38C2310C">
        <w:rPr>
          <w:rFonts w:ascii="Times New Roman" w:hAnsi="Times New Roman"/>
          <w:sz w:val="24"/>
          <w:szCs w:val="24"/>
        </w:rPr>
        <w:t xml:space="preserve">The IMU supports OL’s ability to implement the recommendations contained within the Office of the State Inspector General’s Review of Serious Injuries and allows for better monitoring of providers’ compliance with the serious incident reporting requirements contained within the Licensing Regulations. In addition, </w:t>
      </w:r>
      <w:r w:rsidR="005E7165" w:rsidRPr="38C2310C">
        <w:rPr>
          <w:rFonts w:ascii="Times New Roman" w:hAnsi="Times New Roman"/>
          <w:sz w:val="24"/>
          <w:szCs w:val="24"/>
        </w:rPr>
        <w:lastRenderedPageBreak/>
        <w:t xml:space="preserve">there are </w:t>
      </w:r>
      <w:proofErr w:type="gramStart"/>
      <w:r w:rsidR="005E7165" w:rsidRPr="38C2310C">
        <w:rPr>
          <w:rFonts w:ascii="Times New Roman" w:hAnsi="Times New Roman"/>
          <w:sz w:val="24"/>
          <w:szCs w:val="24"/>
        </w:rPr>
        <w:t>a number of</w:t>
      </w:r>
      <w:proofErr w:type="gramEnd"/>
      <w:r w:rsidR="005E7165" w:rsidRPr="38C2310C">
        <w:rPr>
          <w:rFonts w:ascii="Times New Roman" w:hAnsi="Times New Roman"/>
          <w:sz w:val="24"/>
          <w:szCs w:val="24"/>
        </w:rPr>
        <w:t xml:space="preserve"> settlement agreement provisions and indicators that tie to the timely and accurate reporting of incidents. </w:t>
      </w:r>
      <w:r w:rsidRPr="38C2310C">
        <w:rPr>
          <w:rFonts w:ascii="Times New Roman" w:hAnsi="Times New Roman"/>
          <w:sz w:val="24"/>
          <w:szCs w:val="24"/>
        </w:rPr>
        <w:t xml:space="preserve">The IMU provides regular training and technical assistance to providers, </w:t>
      </w:r>
      <w:r>
        <w:rPr>
          <w:rFonts w:ascii="Times New Roman" w:hAnsi="Times New Roman"/>
          <w:sz w:val="24"/>
          <w:szCs w:val="24"/>
        </w:rPr>
        <w:t xml:space="preserve">and </w:t>
      </w:r>
      <w:r w:rsidRPr="38C2310C">
        <w:rPr>
          <w:rFonts w:ascii="Times New Roman" w:hAnsi="Times New Roman"/>
          <w:sz w:val="24"/>
          <w:szCs w:val="24"/>
        </w:rPr>
        <w:t>monitors data including specific individual, provider, and system trends related to serious incidents and deaths. </w:t>
      </w:r>
      <w:r w:rsidR="005E7165" w:rsidRPr="38C2310C">
        <w:rPr>
          <w:rFonts w:ascii="Times New Roman" w:hAnsi="Times New Roman"/>
          <w:sz w:val="24"/>
          <w:szCs w:val="24"/>
        </w:rPr>
        <w:t xml:space="preserve">The IMU triaged </w:t>
      </w:r>
      <w:r w:rsidR="005E7165" w:rsidRPr="38C2310C">
        <w:rPr>
          <w:rFonts w:ascii="Times New Roman" w:eastAsia="Times New Roman" w:hAnsi="Times New Roman"/>
          <w:sz w:val="24"/>
          <w:szCs w:val="24"/>
        </w:rPr>
        <w:t>22,424</w:t>
      </w:r>
      <w:r w:rsidR="005E7165" w:rsidRPr="38C2310C">
        <w:rPr>
          <w:rFonts w:ascii="Times New Roman" w:hAnsi="Times New Roman"/>
          <w:sz w:val="24"/>
          <w:szCs w:val="24"/>
        </w:rPr>
        <w:t xml:space="preserve"> serious incidents and deaths</w:t>
      </w:r>
      <w:r>
        <w:rPr>
          <w:rFonts w:ascii="Times New Roman" w:hAnsi="Times New Roman"/>
          <w:sz w:val="24"/>
          <w:szCs w:val="24"/>
        </w:rPr>
        <w:t xml:space="preserve"> in FY 2022.</w:t>
      </w:r>
      <w:r w:rsidR="005E7165" w:rsidRPr="38C2310C">
        <w:rPr>
          <w:rFonts w:ascii="Times New Roman" w:hAnsi="Times New Roman"/>
          <w:sz w:val="24"/>
          <w:szCs w:val="24"/>
        </w:rPr>
        <w:t xml:space="preserve">  </w:t>
      </w:r>
    </w:p>
    <w:p w14:paraId="24D7E6F2" w14:textId="7222DA97" w:rsidR="005E7165" w:rsidRDefault="00505B8E" w:rsidP="0021779A">
      <w:pPr>
        <w:pStyle w:val="ListParagraph"/>
        <w:numPr>
          <w:ilvl w:val="0"/>
          <w:numId w:val="3"/>
        </w:numPr>
        <w:spacing w:line="240" w:lineRule="auto"/>
        <w:ind w:left="547"/>
        <w:textAlignment w:val="baseline"/>
        <w:rPr>
          <w:rFonts w:ascii="Times New Roman" w:hAnsi="Times New Roman"/>
          <w:sz w:val="24"/>
          <w:szCs w:val="24"/>
        </w:rPr>
      </w:pPr>
      <w:r>
        <w:rPr>
          <w:rFonts w:ascii="Times New Roman" w:hAnsi="Times New Roman"/>
          <w:sz w:val="24"/>
          <w:szCs w:val="24"/>
        </w:rPr>
        <w:t>S</w:t>
      </w:r>
      <w:r w:rsidR="005E7165" w:rsidRPr="38C2310C">
        <w:rPr>
          <w:rFonts w:ascii="Times New Roman" w:hAnsi="Times New Roman"/>
          <w:sz w:val="24"/>
          <w:szCs w:val="24"/>
        </w:rPr>
        <w:t>pecialized Investigation Unit (SIU)</w:t>
      </w:r>
      <w:r>
        <w:rPr>
          <w:rFonts w:ascii="Times New Roman" w:hAnsi="Times New Roman"/>
          <w:sz w:val="24"/>
          <w:szCs w:val="24"/>
        </w:rPr>
        <w:t xml:space="preserve"> – The </w:t>
      </w:r>
      <w:r w:rsidR="005E7165" w:rsidRPr="38C2310C">
        <w:rPr>
          <w:rFonts w:ascii="Times New Roman" w:eastAsia="Times New Roman" w:hAnsi="Times New Roman"/>
          <w:sz w:val="24"/>
          <w:szCs w:val="24"/>
        </w:rPr>
        <w:t xml:space="preserve">SIU was developed to supplement the efforts of </w:t>
      </w:r>
      <w:r>
        <w:rPr>
          <w:rFonts w:ascii="Times New Roman" w:eastAsia="Times New Roman" w:hAnsi="Times New Roman"/>
          <w:sz w:val="24"/>
          <w:szCs w:val="24"/>
        </w:rPr>
        <w:t>l</w:t>
      </w:r>
      <w:r w:rsidR="005E7165" w:rsidRPr="38C2310C">
        <w:rPr>
          <w:rFonts w:ascii="Times New Roman" w:eastAsia="Times New Roman" w:hAnsi="Times New Roman"/>
          <w:sz w:val="24"/>
          <w:szCs w:val="24"/>
        </w:rPr>
        <w:t xml:space="preserve">icensing </w:t>
      </w:r>
      <w:r>
        <w:rPr>
          <w:rFonts w:ascii="Times New Roman" w:eastAsia="Times New Roman" w:hAnsi="Times New Roman"/>
          <w:sz w:val="24"/>
          <w:szCs w:val="24"/>
        </w:rPr>
        <w:t>s</w:t>
      </w:r>
      <w:r w:rsidR="005E7165" w:rsidRPr="38C2310C">
        <w:rPr>
          <w:rFonts w:ascii="Times New Roman" w:eastAsia="Times New Roman" w:hAnsi="Times New Roman"/>
          <w:sz w:val="24"/>
          <w:szCs w:val="24"/>
        </w:rPr>
        <w:t xml:space="preserve">pecialists in conducting investigations to protect the health and safety of </w:t>
      </w:r>
      <w:r>
        <w:rPr>
          <w:rFonts w:ascii="Times New Roman" w:eastAsia="Times New Roman" w:hAnsi="Times New Roman"/>
          <w:sz w:val="24"/>
          <w:szCs w:val="24"/>
        </w:rPr>
        <w:t>i</w:t>
      </w:r>
      <w:r w:rsidR="005E7165" w:rsidRPr="38C2310C">
        <w:rPr>
          <w:rFonts w:ascii="Times New Roman" w:eastAsia="Times New Roman" w:hAnsi="Times New Roman"/>
          <w:sz w:val="24"/>
          <w:szCs w:val="24"/>
        </w:rPr>
        <w:t xml:space="preserve">ndividuals with </w:t>
      </w:r>
      <w:r>
        <w:rPr>
          <w:rFonts w:ascii="Times New Roman" w:eastAsia="Times New Roman" w:hAnsi="Times New Roman"/>
          <w:sz w:val="24"/>
          <w:szCs w:val="24"/>
        </w:rPr>
        <w:t>DD</w:t>
      </w:r>
      <w:r w:rsidR="005E7165" w:rsidRPr="38C2310C">
        <w:rPr>
          <w:rFonts w:ascii="Times New Roman" w:eastAsia="Times New Roman" w:hAnsi="Times New Roman"/>
          <w:sz w:val="24"/>
          <w:szCs w:val="24"/>
        </w:rPr>
        <w:t xml:space="preserve">; and to ultimately improve the overall quality of services and supports. During FY 2022, the SIU completed 700 death investigations for individuals with developmental disabilities. </w:t>
      </w:r>
      <w:r w:rsidR="005E7165">
        <w:rPr>
          <w:rFonts w:ascii="Times New Roman" w:eastAsia="Times New Roman" w:hAnsi="Times New Roman"/>
          <w:sz w:val="24"/>
          <w:szCs w:val="24"/>
        </w:rPr>
        <w:t xml:space="preserve">The Office of Licensing also completed an additional 608 complaint/serious incident investigations during the year. </w:t>
      </w:r>
    </w:p>
    <w:p w14:paraId="09C3A5D6" w14:textId="40358C9D" w:rsidR="005E7165" w:rsidRDefault="005E7165" w:rsidP="0021779A">
      <w:pPr>
        <w:pStyle w:val="ListParagraph"/>
        <w:numPr>
          <w:ilvl w:val="0"/>
          <w:numId w:val="3"/>
        </w:numPr>
        <w:spacing w:line="240" w:lineRule="auto"/>
        <w:ind w:left="547"/>
        <w:rPr>
          <w:sz w:val="24"/>
          <w:szCs w:val="24"/>
        </w:rPr>
      </w:pPr>
      <w:r w:rsidRPr="38C2310C">
        <w:rPr>
          <w:rFonts w:ascii="Times New Roman" w:eastAsia="Times New Roman" w:hAnsi="Times New Roman"/>
          <w:sz w:val="24"/>
          <w:szCs w:val="24"/>
        </w:rPr>
        <w:t xml:space="preserve">During FY </w:t>
      </w:r>
      <w:r w:rsidR="00505B8E">
        <w:rPr>
          <w:rFonts w:ascii="Times New Roman" w:eastAsia="Times New Roman" w:hAnsi="Times New Roman"/>
          <w:sz w:val="24"/>
          <w:szCs w:val="24"/>
        </w:rPr>
        <w:t>20</w:t>
      </w:r>
      <w:r w:rsidRPr="38C2310C">
        <w:rPr>
          <w:rFonts w:ascii="Times New Roman" w:eastAsia="Times New Roman" w:hAnsi="Times New Roman"/>
          <w:sz w:val="24"/>
          <w:szCs w:val="24"/>
        </w:rPr>
        <w:t>22, the OL processed 815 complaints.</w:t>
      </w:r>
    </w:p>
    <w:p w14:paraId="31BDC701" w14:textId="40C1F4F1" w:rsidR="005E7165" w:rsidRPr="00212357" w:rsidRDefault="005E7165" w:rsidP="0021779A">
      <w:pPr>
        <w:pStyle w:val="ListParagraph"/>
        <w:numPr>
          <w:ilvl w:val="0"/>
          <w:numId w:val="3"/>
        </w:numPr>
        <w:spacing w:line="240" w:lineRule="auto"/>
        <w:ind w:left="547"/>
        <w:rPr>
          <w:rFonts w:ascii="Times New Roman" w:hAnsi="Times New Roman"/>
          <w:sz w:val="24"/>
          <w:szCs w:val="24"/>
        </w:rPr>
      </w:pPr>
      <w:r w:rsidRPr="38C2310C">
        <w:rPr>
          <w:rFonts w:ascii="Times New Roman" w:eastAsia="Times New Roman" w:hAnsi="Times New Roman"/>
          <w:sz w:val="24"/>
          <w:szCs w:val="24"/>
        </w:rPr>
        <w:t xml:space="preserve">Licensing specialists processed 1,509 application modifications during FY </w:t>
      </w:r>
      <w:r w:rsidR="00505B8E">
        <w:rPr>
          <w:rFonts w:ascii="Times New Roman" w:eastAsia="Times New Roman" w:hAnsi="Times New Roman"/>
          <w:sz w:val="24"/>
          <w:szCs w:val="24"/>
        </w:rPr>
        <w:t>20</w:t>
      </w:r>
      <w:r w:rsidRPr="38C2310C">
        <w:rPr>
          <w:rFonts w:ascii="Times New Roman" w:eastAsia="Times New Roman" w:hAnsi="Times New Roman"/>
          <w:sz w:val="24"/>
          <w:szCs w:val="24"/>
        </w:rPr>
        <w:t xml:space="preserve">22 and </w:t>
      </w:r>
      <w:r w:rsidRPr="00212357">
        <w:rPr>
          <w:rFonts w:ascii="Times New Roman" w:eastAsia="Times New Roman" w:hAnsi="Times New Roman"/>
          <w:sz w:val="24"/>
          <w:szCs w:val="24"/>
        </w:rPr>
        <w:t xml:space="preserve">completed 2,023 total unannounced inspections. </w:t>
      </w:r>
    </w:p>
    <w:p w14:paraId="5888370C" w14:textId="73F9B183" w:rsidR="005E7165" w:rsidRDefault="005E7165" w:rsidP="0021779A">
      <w:pPr>
        <w:pStyle w:val="ListParagraph"/>
        <w:numPr>
          <w:ilvl w:val="0"/>
          <w:numId w:val="3"/>
        </w:numPr>
        <w:spacing w:line="240" w:lineRule="auto"/>
        <w:ind w:left="547"/>
        <w:rPr>
          <w:rFonts w:ascii="Times New Roman" w:hAnsi="Times New Roman"/>
          <w:sz w:val="24"/>
          <w:szCs w:val="24"/>
        </w:rPr>
      </w:pPr>
      <w:r w:rsidRPr="00212357">
        <w:rPr>
          <w:rFonts w:ascii="Times New Roman" w:hAnsi="Times New Roman"/>
          <w:sz w:val="24"/>
          <w:szCs w:val="24"/>
        </w:rPr>
        <w:t>In Fall of 2021</w:t>
      </w:r>
      <w:r w:rsidR="00505B8E">
        <w:rPr>
          <w:rFonts w:ascii="Times New Roman" w:hAnsi="Times New Roman"/>
          <w:sz w:val="24"/>
          <w:szCs w:val="24"/>
        </w:rPr>
        <w:t xml:space="preserve">, </w:t>
      </w:r>
      <w:r w:rsidRPr="00212357">
        <w:rPr>
          <w:rFonts w:ascii="Times New Roman" w:hAnsi="Times New Roman"/>
          <w:sz w:val="24"/>
          <w:szCs w:val="24"/>
        </w:rPr>
        <w:t>began to prioritize application reviews for needed services within the Commonwealth. There is currently no waiting list for applications of prioritized services.</w:t>
      </w:r>
    </w:p>
    <w:p w14:paraId="7CB49E59" w14:textId="4D1BE1E7" w:rsidR="005E7165" w:rsidRPr="00BE01F3" w:rsidRDefault="005E7165" w:rsidP="0021779A">
      <w:pPr>
        <w:pStyle w:val="ListParagraph"/>
        <w:numPr>
          <w:ilvl w:val="0"/>
          <w:numId w:val="3"/>
        </w:numPr>
        <w:spacing w:line="240" w:lineRule="auto"/>
        <w:ind w:left="540"/>
        <w:rPr>
          <w:rFonts w:ascii="Times New Roman" w:hAnsi="Times New Roman"/>
          <w:sz w:val="24"/>
          <w:szCs w:val="24"/>
        </w:rPr>
      </w:pPr>
      <w:r w:rsidRPr="00BE01F3">
        <w:rPr>
          <w:rFonts w:ascii="Times New Roman" w:hAnsi="Times New Roman"/>
          <w:sz w:val="24"/>
          <w:szCs w:val="24"/>
        </w:rPr>
        <w:t>Based on provider feedback, streamlined the process for sponsored residential service providers to add new locations.</w:t>
      </w:r>
    </w:p>
    <w:p w14:paraId="382BB81D" w14:textId="36990495" w:rsidR="005E7165" w:rsidRPr="00BE01F3" w:rsidRDefault="00505B8E" w:rsidP="0021779A">
      <w:pPr>
        <w:pStyle w:val="ListParagraph"/>
        <w:numPr>
          <w:ilvl w:val="0"/>
          <w:numId w:val="3"/>
        </w:numPr>
        <w:spacing w:line="240" w:lineRule="auto"/>
        <w:ind w:left="540"/>
        <w:rPr>
          <w:rFonts w:ascii="Times New Roman" w:hAnsi="Times New Roman"/>
          <w:sz w:val="24"/>
          <w:szCs w:val="24"/>
        </w:rPr>
      </w:pPr>
      <w:r>
        <w:rPr>
          <w:rFonts w:ascii="Times New Roman" w:hAnsi="Times New Roman"/>
          <w:sz w:val="24"/>
          <w:szCs w:val="24"/>
        </w:rPr>
        <w:t>D</w:t>
      </w:r>
      <w:r w:rsidR="005E7165" w:rsidRPr="00BE01F3">
        <w:rPr>
          <w:rFonts w:ascii="Times New Roman" w:hAnsi="Times New Roman"/>
          <w:sz w:val="24"/>
          <w:szCs w:val="24"/>
        </w:rPr>
        <w:t xml:space="preserve">isseminated updated training and tools to assist providers with compliance with regulations for implementing risk management and quality improvement programs. </w:t>
      </w:r>
    </w:p>
    <w:tbl>
      <w:tblPr>
        <w:tblpPr w:leftFromText="180" w:rightFromText="180" w:vertAnchor="text" w:horzAnchor="margin" w:tblpY="17"/>
        <w:tblW w:w="93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4"/>
        <w:gridCol w:w="883"/>
        <w:gridCol w:w="883"/>
        <w:gridCol w:w="883"/>
        <w:gridCol w:w="883"/>
        <w:gridCol w:w="883"/>
        <w:gridCol w:w="884"/>
        <w:gridCol w:w="884"/>
        <w:gridCol w:w="884"/>
      </w:tblGrid>
      <w:tr w:rsidR="00505B8E" w:rsidRPr="00792D4B" w14:paraId="061A421F" w14:textId="77777777" w:rsidTr="00505B8E">
        <w:tc>
          <w:tcPr>
            <w:tcW w:w="9361" w:type="dxa"/>
            <w:gridSpan w:val="9"/>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hideMark/>
          </w:tcPr>
          <w:p w14:paraId="6FE6D8DB" w14:textId="77777777" w:rsidR="00505B8E" w:rsidRPr="00505B8E" w:rsidRDefault="00505B8E" w:rsidP="00505B8E">
            <w:pPr>
              <w:jc w:val="center"/>
              <w:rPr>
                <w:rFonts w:asciiTheme="minorHAnsi" w:hAnsiTheme="minorHAnsi" w:cstheme="minorHAnsi"/>
                <w:b/>
                <w:bCs/>
                <w:sz w:val="20"/>
                <w:szCs w:val="20"/>
              </w:rPr>
            </w:pPr>
            <w:r w:rsidRPr="00505B8E">
              <w:rPr>
                <w:rFonts w:asciiTheme="minorHAnsi" w:hAnsiTheme="minorHAnsi" w:cstheme="minorHAnsi"/>
                <w:b/>
                <w:bCs/>
                <w:sz w:val="20"/>
                <w:szCs w:val="20"/>
              </w:rPr>
              <w:t>Overview of Licensing Statistics in FY 2022*</w:t>
            </w:r>
          </w:p>
        </w:tc>
      </w:tr>
      <w:tr w:rsidR="00505B8E" w:rsidRPr="00792D4B" w14:paraId="1366E1DC" w14:textId="77777777" w:rsidTr="00505B8E">
        <w:tc>
          <w:tcPr>
            <w:tcW w:w="2294" w:type="dxa"/>
            <w:tcBorders>
              <w:top w:val="nil"/>
              <w:left w:val="single" w:sz="6" w:space="0" w:color="7F7F7F" w:themeColor="text1" w:themeTint="80"/>
              <w:bottom w:val="single" w:sz="6" w:space="0" w:color="7F7F7F" w:themeColor="text1" w:themeTint="80"/>
              <w:right w:val="single" w:sz="6" w:space="0" w:color="7F7F7F" w:themeColor="text1" w:themeTint="80"/>
            </w:tcBorders>
            <w:vAlign w:val="center"/>
            <w:hideMark/>
          </w:tcPr>
          <w:p w14:paraId="38675CC7" w14:textId="77777777" w:rsidR="00505B8E" w:rsidRPr="00505B8E" w:rsidRDefault="00505B8E" w:rsidP="00505B8E">
            <w:pPr>
              <w:jc w:val="center"/>
              <w:textAlignment w:val="baseline"/>
              <w:rPr>
                <w:rFonts w:asciiTheme="minorHAnsi" w:hAnsiTheme="minorHAnsi" w:cstheme="minorHAnsi"/>
                <w:sz w:val="20"/>
                <w:szCs w:val="20"/>
              </w:rPr>
            </w:pPr>
            <w:r w:rsidRPr="00505B8E">
              <w:rPr>
                <w:rFonts w:asciiTheme="minorHAnsi" w:hAnsiTheme="minorHAnsi" w:cstheme="minorHAnsi"/>
                <w:b/>
                <w:bCs/>
                <w:sz w:val="20"/>
                <w:szCs w:val="20"/>
              </w:rPr>
              <w:t>Fiscal Year Change:</w:t>
            </w:r>
            <w:r w:rsidRPr="00505B8E">
              <w:rPr>
                <w:rFonts w:asciiTheme="minorHAnsi" w:hAnsiTheme="minorHAnsi" w:cstheme="minorHAnsi"/>
                <w:sz w:val="20"/>
                <w:szCs w:val="20"/>
              </w:rPr>
              <w:t> </w:t>
            </w:r>
          </w:p>
        </w:tc>
        <w:tc>
          <w:tcPr>
            <w:tcW w:w="883" w:type="dxa"/>
            <w:tcBorders>
              <w:top w:val="nil"/>
              <w:left w:val="nil"/>
              <w:bottom w:val="single" w:sz="6" w:space="0" w:color="7F7F7F" w:themeColor="text1" w:themeTint="80"/>
              <w:right w:val="single" w:sz="6" w:space="0" w:color="7F7F7F" w:themeColor="text1" w:themeTint="80"/>
            </w:tcBorders>
            <w:vAlign w:val="center"/>
            <w:hideMark/>
          </w:tcPr>
          <w:p w14:paraId="705F1D00" w14:textId="77777777" w:rsidR="00505B8E" w:rsidRPr="00505B8E" w:rsidRDefault="00505B8E" w:rsidP="00505B8E">
            <w:pPr>
              <w:jc w:val="center"/>
              <w:textAlignment w:val="baseline"/>
              <w:rPr>
                <w:rFonts w:asciiTheme="minorHAnsi" w:hAnsiTheme="minorHAnsi" w:cstheme="minorHAnsi"/>
                <w:sz w:val="20"/>
                <w:szCs w:val="20"/>
              </w:rPr>
            </w:pPr>
            <w:r w:rsidRPr="00505B8E">
              <w:rPr>
                <w:rFonts w:asciiTheme="minorHAnsi" w:hAnsiTheme="minorHAnsi" w:cstheme="minorHAnsi"/>
                <w:sz w:val="20"/>
                <w:szCs w:val="20"/>
              </w:rPr>
              <w:t>2012</w:t>
            </w:r>
          </w:p>
        </w:tc>
        <w:tc>
          <w:tcPr>
            <w:tcW w:w="883" w:type="dxa"/>
            <w:tcBorders>
              <w:top w:val="nil"/>
              <w:left w:val="nil"/>
              <w:bottom w:val="single" w:sz="6" w:space="0" w:color="7F7F7F" w:themeColor="text1" w:themeTint="80"/>
              <w:right w:val="single" w:sz="6" w:space="0" w:color="7F7F7F" w:themeColor="text1" w:themeTint="80"/>
            </w:tcBorders>
            <w:hideMark/>
          </w:tcPr>
          <w:p w14:paraId="0BE8799F" w14:textId="77777777" w:rsidR="00505B8E" w:rsidRPr="00505B8E" w:rsidRDefault="00505B8E" w:rsidP="00505B8E">
            <w:pPr>
              <w:jc w:val="center"/>
              <w:textAlignment w:val="baseline"/>
              <w:rPr>
                <w:rFonts w:asciiTheme="minorHAnsi" w:hAnsiTheme="minorHAnsi" w:cstheme="minorHAnsi"/>
                <w:sz w:val="20"/>
                <w:szCs w:val="20"/>
              </w:rPr>
            </w:pPr>
            <w:r w:rsidRPr="00505B8E">
              <w:rPr>
                <w:rFonts w:asciiTheme="minorHAnsi" w:hAnsiTheme="minorHAnsi" w:cstheme="minorHAnsi"/>
                <w:sz w:val="20"/>
                <w:szCs w:val="20"/>
              </w:rPr>
              <w:t>2014</w:t>
            </w:r>
          </w:p>
        </w:tc>
        <w:tc>
          <w:tcPr>
            <w:tcW w:w="883" w:type="dxa"/>
            <w:tcBorders>
              <w:top w:val="nil"/>
              <w:left w:val="nil"/>
              <w:bottom w:val="single" w:sz="6" w:space="0" w:color="7F7F7F" w:themeColor="text1" w:themeTint="80"/>
              <w:right w:val="single" w:sz="6" w:space="0" w:color="7F7F7F" w:themeColor="text1" w:themeTint="80"/>
            </w:tcBorders>
            <w:hideMark/>
          </w:tcPr>
          <w:p w14:paraId="708E7C89" w14:textId="77777777" w:rsidR="00505B8E" w:rsidRPr="00505B8E" w:rsidRDefault="00505B8E" w:rsidP="00505B8E">
            <w:pPr>
              <w:jc w:val="center"/>
              <w:textAlignment w:val="baseline"/>
              <w:rPr>
                <w:rFonts w:asciiTheme="minorHAnsi" w:hAnsiTheme="minorHAnsi" w:cstheme="minorHAnsi"/>
                <w:sz w:val="20"/>
                <w:szCs w:val="20"/>
              </w:rPr>
            </w:pPr>
            <w:r w:rsidRPr="00505B8E">
              <w:rPr>
                <w:rFonts w:asciiTheme="minorHAnsi" w:hAnsiTheme="minorHAnsi" w:cstheme="minorHAnsi"/>
                <w:sz w:val="20"/>
                <w:szCs w:val="20"/>
              </w:rPr>
              <w:t>2016</w:t>
            </w:r>
          </w:p>
        </w:tc>
        <w:tc>
          <w:tcPr>
            <w:tcW w:w="883" w:type="dxa"/>
            <w:tcBorders>
              <w:top w:val="nil"/>
              <w:left w:val="nil"/>
              <w:bottom w:val="single" w:sz="6" w:space="0" w:color="7F7F7F" w:themeColor="text1" w:themeTint="80"/>
              <w:right w:val="single" w:sz="6" w:space="0" w:color="7F7F7F" w:themeColor="text1" w:themeTint="80"/>
            </w:tcBorders>
            <w:hideMark/>
          </w:tcPr>
          <w:p w14:paraId="254C8151" w14:textId="77777777" w:rsidR="00505B8E" w:rsidRPr="00505B8E" w:rsidRDefault="00505B8E" w:rsidP="00505B8E">
            <w:pPr>
              <w:jc w:val="center"/>
              <w:textAlignment w:val="baseline"/>
              <w:rPr>
                <w:rFonts w:asciiTheme="minorHAnsi" w:hAnsiTheme="minorHAnsi" w:cstheme="minorHAnsi"/>
                <w:sz w:val="20"/>
                <w:szCs w:val="20"/>
              </w:rPr>
            </w:pPr>
            <w:r w:rsidRPr="00505B8E">
              <w:rPr>
                <w:rFonts w:asciiTheme="minorHAnsi" w:hAnsiTheme="minorHAnsi" w:cstheme="minorHAnsi"/>
                <w:sz w:val="20"/>
                <w:szCs w:val="20"/>
              </w:rPr>
              <w:t>2018</w:t>
            </w:r>
          </w:p>
        </w:tc>
        <w:tc>
          <w:tcPr>
            <w:tcW w:w="883" w:type="dxa"/>
            <w:tcBorders>
              <w:top w:val="nil"/>
              <w:left w:val="nil"/>
              <w:bottom w:val="single" w:sz="6" w:space="0" w:color="7F7F7F" w:themeColor="text1" w:themeTint="80"/>
              <w:right w:val="single" w:sz="6" w:space="0" w:color="7F7F7F" w:themeColor="text1" w:themeTint="80"/>
            </w:tcBorders>
            <w:hideMark/>
          </w:tcPr>
          <w:p w14:paraId="0309C97C" w14:textId="77777777" w:rsidR="00505B8E" w:rsidRPr="00505B8E" w:rsidRDefault="00505B8E" w:rsidP="00505B8E">
            <w:pPr>
              <w:jc w:val="center"/>
              <w:textAlignment w:val="baseline"/>
              <w:rPr>
                <w:rFonts w:asciiTheme="minorHAnsi" w:hAnsiTheme="minorHAnsi" w:cstheme="minorHAnsi"/>
                <w:sz w:val="20"/>
                <w:szCs w:val="20"/>
              </w:rPr>
            </w:pPr>
            <w:r w:rsidRPr="00505B8E">
              <w:rPr>
                <w:rFonts w:asciiTheme="minorHAnsi" w:hAnsiTheme="minorHAnsi" w:cstheme="minorHAnsi"/>
                <w:sz w:val="20"/>
                <w:szCs w:val="20"/>
              </w:rPr>
              <w:t>2019</w:t>
            </w:r>
          </w:p>
        </w:tc>
        <w:tc>
          <w:tcPr>
            <w:tcW w:w="884" w:type="dxa"/>
            <w:tcBorders>
              <w:top w:val="nil"/>
              <w:left w:val="nil"/>
              <w:bottom w:val="single" w:sz="6" w:space="0" w:color="7F7F7F" w:themeColor="text1" w:themeTint="80"/>
              <w:right w:val="single" w:sz="6" w:space="0" w:color="7F7F7F" w:themeColor="text1" w:themeTint="80"/>
            </w:tcBorders>
            <w:hideMark/>
          </w:tcPr>
          <w:p w14:paraId="29835158" w14:textId="77777777" w:rsidR="00505B8E" w:rsidRPr="00505B8E" w:rsidRDefault="00505B8E" w:rsidP="00505B8E">
            <w:pPr>
              <w:jc w:val="center"/>
              <w:textAlignment w:val="baseline"/>
              <w:rPr>
                <w:rFonts w:asciiTheme="minorHAnsi" w:hAnsiTheme="minorHAnsi" w:cstheme="minorHAnsi"/>
                <w:sz w:val="20"/>
                <w:szCs w:val="20"/>
              </w:rPr>
            </w:pPr>
            <w:r w:rsidRPr="00505B8E">
              <w:rPr>
                <w:rFonts w:asciiTheme="minorHAnsi" w:hAnsiTheme="minorHAnsi" w:cstheme="minorHAnsi"/>
                <w:sz w:val="20"/>
                <w:szCs w:val="20"/>
              </w:rPr>
              <w:t>2020</w:t>
            </w:r>
          </w:p>
        </w:tc>
        <w:tc>
          <w:tcPr>
            <w:tcW w:w="884" w:type="dxa"/>
            <w:tcBorders>
              <w:top w:val="nil"/>
              <w:left w:val="nil"/>
              <w:bottom w:val="single" w:sz="6" w:space="0" w:color="7F7F7F" w:themeColor="text1" w:themeTint="80"/>
              <w:right w:val="single" w:sz="6" w:space="0" w:color="7F7F7F" w:themeColor="text1" w:themeTint="80"/>
            </w:tcBorders>
            <w:hideMark/>
          </w:tcPr>
          <w:p w14:paraId="2DD478C2" w14:textId="77777777" w:rsidR="00505B8E" w:rsidRPr="00505B8E" w:rsidRDefault="00505B8E" w:rsidP="00505B8E">
            <w:pPr>
              <w:jc w:val="center"/>
              <w:textAlignment w:val="baseline"/>
              <w:rPr>
                <w:rFonts w:asciiTheme="minorHAnsi" w:hAnsiTheme="minorHAnsi" w:cstheme="minorHAnsi"/>
                <w:sz w:val="20"/>
                <w:szCs w:val="20"/>
              </w:rPr>
            </w:pPr>
            <w:r w:rsidRPr="00505B8E">
              <w:rPr>
                <w:rFonts w:asciiTheme="minorHAnsi" w:hAnsiTheme="minorHAnsi" w:cstheme="minorHAnsi"/>
                <w:sz w:val="20"/>
                <w:szCs w:val="20"/>
              </w:rPr>
              <w:t>2021</w:t>
            </w:r>
          </w:p>
        </w:tc>
        <w:tc>
          <w:tcPr>
            <w:tcW w:w="884" w:type="dxa"/>
            <w:tcBorders>
              <w:top w:val="nil"/>
              <w:left w:val="nil"/>
              <w:bottom w:val="single" w:sz="6" w:space="0" w:color="7F7F7F" w:themeColor="text1" w:themeTint="80"/>
              <w:right w:val="single" w:sz="6" w:space="0" w:color="7F7F7F" w:themeColor="text1" w:themeTint="80"/>
            </w:tcBorders>
          </w:tcPr>
          <w:p w14:paraId="4B298883" w14:textId="77777777" w:rsidR="00505B8E" w:rsidRPr="00505B8E" w:rsidRDefault="00505B8E" w:rsidP="00505B8E">
            <w:pPr>
              <w:jc w:val="center"/>
              <w:rPr>
                <w:rFonts w:asciiTheme="minorHAnsi" w:hAnsiTheme="minorHAnsi" w:cstheme="minorHAnsi"/>
                <w:sz w:val="20"/>
                <w:szCs w:val="20"/>
              </w:rPr>
            </w:pPr>
            <w:r w:rsidRPr="00505B8E">
              <w:rPr>
                <w:rFonts w:asciiTheme="minorHAnsi" w:hAnsiTheme="minorHAnsi" w:cstheme="minorHAnsi"/>
                <w:sz w:val="20"/>
                <w:szCs w:val="20"/>
              </w:rPr>
              <w:t>2022</w:t>
            </w:r>
          </w:p>
        </w:tc>
      </w:tr>
      <w:tr w:rsidR="00505B8E" w:rsidRPr="00792D4B" w14:paraId="0736D60C" w14:textId="77777777" w:rsidTr="00505B8E">
        <w:tc>
          <w:tcPr>
            <w:tcW w:w="2294" w:type="dxa"/>
            <w:tcBorders>
              <w:top w:val="nil"/>
              <w:left w:val="single" w:sz="6" w:space="0" w:color="7F7F7F" w:themeColor="text1" w:themeTint="80"/>
              <w:bottom w:val="single" w:sz="6" w:space="0" w:color="7F7F7F" w:themeColor="text1" w:themeTint="80"/>
              <w:right w:val="single" w:sz="6" w:space="0" w:color="7F7F7F" w:themeColor="text1" w:themeTint="80"/>
            </w:tcBorders>
            <w:vAlign w:val="center"/>
            <w:hideMark/>
          </w:tcPr>
          <w:p w14:paraId="6CF36759" w14:textId="77777777" w:rsidR="00505B8E" w:rsidRPr="00505B8E" w:rsidRDefault="00505B8E" w:rsidP="00505B8E">
            <w:pPr>
              <w:textAlignment w:val="baseline"/>
              <w:rPr>
                <w:rFonts w:asciiTheme="minorHAnsi" w:hAnsiTheme="minorHAnsi" w:cstheme="minorHAnsi"/>
                <w:sz w:val="20"/>
                <w:szCs w:val="20"/>
              </w:rPr>
            </w:pPr>
            <w:r w:rsidRPr="00505B8E">
              <w:rPr>
                <w:rFonts w:asciiTheme="minorHAnsi" w:hAnsiTheme="minorHAnsi" w:cstheme="minorHAnsi"/>
                <w:sz w:val="20"/>
                <w:szCs w:val="20"/>
              </w:rPr>
              <w:t>Licensed Providers </w:t>
            </w:r>
          </w:p>
        </w:tc>
        <w:tc>
          <w:tcPr>
            <w:tcW w:w="883" w:type="dxa"/>
            <w:tcBorders>
              <w:top w:val="nil"/>
              <w:left w:val="nil"/>
              <w:bottom w:val="single" w:sz="6" w:space="0" w:color="7F7F7F" w:themeColor="text1" w:themeTint="80"/>
              <w:right w:val="single" w:sz="6" w:space="0" w:color="7F7F7F" w:themeColor="text1" w:themeTint="80"/>
            </w:tcBorders>
            <w:vAlign w:val="center"/>
            <w:hideMark/>
          </w:tcPr>
          <w:p w14:paraId="50D0A489"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744</w:t>
            </w:r>
          </w:p>
        </w:tc>
        <w:tc>
          <w:tcPr>
            <w:tcW w:w="883" w:type="dxa"/>
            <w:tcBorders>
              <w:top w:val="nil"/>
              <w:left w:val="nil"/>
              <w:bottom w:val="single" w:sz="6" w:space="0" w:color="7F7F7F" w:themeColor="text1" w:themeTint="80"/>
              <w:right w:val="single" w:sz="6" w:space="0" w:color="7F7F7F" w:themeColor="text1" w:themeTint="80"/>
            </w:tcBorders>
            <w:hideMark/>
          </w:tcPr>
          <w:p w14:paraId="6F45087D"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917</w:t>
            </w:r>
          </w:p>
        </w:tc>
        <w:tc>
          <w:tcPr>
            <w:tcW w:w="883" w:type="dxa"/>
            <w:tcBorders>
              <w:top w:val="nil"/>
              <w:left w:val="nil"/>
              <w:bottom w:val="single" w:sz="6" w:space="0" w:color="7F7F7F" w:themeColor="text1" w:themeTint="80"/>
              <w:right w:val="single" w:sz="6" w:space="0" w:color="7F7F7F" w:themeColor="text1" w:themeTint="80"/>
            </w:tcBorders>
            <w:hideMark/>
          </w:tcPr>
          <w:p w14:paraId="466392C1"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1,041</w:t>
            </w:r>
          </w:p>
        </w:tc>
        <w:tc>
          <w:tcPr>
            <w:tcW w:w="883" w:type="dxa"/>
            <w:tcBorders>
              <w:top w:val="nil"/>
              <w:left w:val="nil"/>
              <w:bottom w:val="single" w:sz="6" w:space="0" w:color="7F7F7F" w:themeColor="text1" w:themeTint="80"/>
              <w:right w:val="single" w:sz="6" w:space="0" w:color="7F7F7F" w:themeColor="text1" w:themeTint="80"/>
            </w:tcBorders>
            <w:hideMark/>
          </w:tcPr>
          <w:p w14:paraId="7501CCF4"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1,071</w:t>
            </w:r>
          </w:p>
        </w:tc>
        <w:tc>
          <w:tcPr>
            <w:tcW w:w="883" w:type="dxa"/>
            <w:tcBorders>
              <w:top w:val="nil"/>
              <w:left w:val="nil"/>
              <w:bottom w:val="single" w:sz="6" w:space="0" w:color="7F7F7F" w:themeColor="text1" w:themeTint="80"/>
              <w:right w:val="single" w:sz="6" w:space="0" w:color="7F7F7F" w:themeColor="text1" w:themeTint="80"/>
            </w:tcBorders>
            <w:hideMark/>
          </w:tcPr>
          <w:p w14:paraId="61209A7C"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1,176</w:t>
            </w:r>
          </w:p>
        </w:tc>
        <w:tc>
          <w:tcPr>
            <w:tcW w:w="884" w:type="dxa"/>
            <w:tcBorders>
              <w:top w:val="nil"/>
              <w:left w:val="nil"/>
              <w:bottom w:val="single" w:sz="6" w:space="0" w:color="7F7F7F" w:themeColor="text1" w:themeTint="80"/>
              <w:right w:val="single" w:sz="6" w:space="0" w:color="7F7F7F" w:themeColor="text1" w:themeTint="80"/>
            </w:tcBorders>
            <w:hideMark/>
          </w:tcPr>
          <w:p w14:paraId="3AD36BFA"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1,290</w:t>
            </w:r>
          </w:p>
        </w:tc>
        <w:tc>
          <w:tcPr>
            <w:tcW w:w="884" w:type="dxa"/>
            <w:tcBorders>
              <w:top w:val="nil"/>
              <w:left w:val="nil"/>
              <w:bottom w:val="single" w:sz="6" w:space="0" w:color="7F7F7F" w:themeColor="text1" w:themeTint="80"/>
              <w:right w:val="single" w:sz="6" w:space="0" w:color="7F7F7F" w:themeColor="text1" w:themeTint="80"/>
            </w:tcBorders>
            <w:hideMark/>
          </w:tcPr>
          <w:p w14:paraId="5BE222FF"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1,359</w:t>
            </w:r>
          </w:p>
        </w:tc>
        <w:tc>
          <w:tcPr>
            <w:tcW w:w="884" w:type="dxa"/>
            <w:tcBorders>
              <w:top w:val="nil"/>
              <w:left w:val="nil"/>
              <w:bottom w:val="single" w:sz="6" w:space="0" w:color="7F7F7F" w:themeColor="text1" w:themeTint="80"/>
              <w:right w:val="single" w:sz="6" w:space="0" w:color="7F7F7F" w:themeColor="text1" w:themeTint="80"/>
            </w:tcBorders>
          </w:tcPr>
          <w:p w14:paraId="0D656DED" w14:textId="77777777" w:rsidR="00505B8E" w:rsidRPr="00505B8E" w:rsidRDefault="00505B8E" w:rsidP="00505B8E">
            <w:pPr>
              <w:jc w:val="right"/>
              <w:rPr>
                <w:rFonts w:asciiTheme="minorHAnsi" w:hAnsiTheme="minorHAnsi" w:cstheme="minorHAnsi"/>
                <w:sz w:val="20"/>
                <w:szCs w:val="20"/>
              </w:rPr>
            </w:pPr>
            <w:r w:rsidRPr="00505B8E">
              <w:rPr>
                <w:rFonts w:asciiTheme="minorHAnsi" w:hAnsiTheme="minorHAnsi" w:cstheme="minorHAnsi"/>
                <w:sz w:val="20"/>
                <w:szCs w:val="20"/>
              </w:rPr>
              <w:t>1,434</w:t>
            </w:r>
          </w:p>
        </w:tc>
      </w:tr>
      <w:tr w:rsidR="00505B8E" w:rsidRPr="00792D4B" w14:paraId="77793A06" w14:textId="77777777" w:rsidTr="00505B8E">
        <w:tc>
          <w:tcPr>
            <w:tcW w:w="2294" w:type="dxa"/>
            <w:tcBorders>
              <w:top w:val="nil"/>
              <w:left w:val="single" w:sz="6" w:space="0" w:color="7F7F7F" w:themeColor="text1" w:themeTint="80"/>
              <w:bottom w:val="single" w:sz="6" w:space="0" w:color="7F7F7F" w:themeColor="text1" w:themeTint="80"/>
              <w:right w:val="single" w:sz="6" w:space="0" w:color="7F7F7F" w:themeColor="text1" w:themeTint="80"/>
            </w:tcBorders>
            <w:vAlign w:val="center"/>
            <w:hideMark/>
          </w:tcPr>
          <w:p w14:paraId="5DBE3FA2" w14:textId="77777777" w:rsidR="00505B8E" w:rsidRPr="00505B8E" w:rsidRDefault="00505B8E" w:rsidP="00505B8E">
            <w:pPr>
              <w:textAlignment w:val="baseline"/>
              <w:rPr>
                <w:rFonts w:asciiTheme="minorHAnsi" w:hAnsiTheme="minorHAnsi" w:cstheme="minorHAnsi"/>
                <w:sz w:val="20"/>
                <w:szCs w:val="20"/>
              </w:rPr>
            </w:pPr>
            <w:r w:rsidRPr="00505B8E">
              <w:rPr>
                <w:rFonts w:asciiTheme="minorHAnsi" w:hAnsiTheme="minorHAnsi" w:cstheme="minorHAnsi"/>
                <w:sz w:val="20"/>
                <w:szCs w:val="20"/>
              </w:rPr>
              <w:t>Licensed Services </w:t>
            </w:r>
          </w:p>
        </w:tc>
        <w:tc>
          <w:tcPr>
            <w:tcW w:w="883" w:type="dxa"/>
            <w:tcBorders>
              <w:top w:val="nil"/>
              <w:left w:val="nil"/>
              <w:bottom w:val="single" w:sz="6" w:space="0" w:color="7F7F7F" w:themeColor="text1" w:themeTint="80"/>
              <w:right w:val="single" w:sz="6" w:space="0" w:color="7F7F7F" w:themeColor="text1" w:themeTint="80"/>
            </w:tcBorders>
            <w:vAlign w:val="center"/>
            <w:hideMark/>
          </w:tcPr>
          <w:p w14:paraId="669C094F"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1,860</w:t>
            </w:r>
          </w:p>
        </w:tc>
        <w:tc>
          <w:tcPr>
            <w:tcW w:w="883" w:type="dxa"/>
            <w:tcBorders>
              <w:top w:val="nil"/>
              <w:left w:val="nil"/>
              <w:bottom w:val="single" w:sz="6" w:space="0" w:color="7F7F7F" w:themeColor="text1" w:themeTint="80"/>
              <w:right w:val="single" w:sz="6" w:space="0" w:color="7F7F7F" w:themeColor="text1" w:themeTint="80"/>
            </w:tcBorders>
            <w:hideMark/>
          </w:tcPr>
          <w:p w14:paraId="0B1E0547"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2,218</w:t>
            </w:r>
          </w:p>
        </w:tc>
        <w:tc>
          <w:tcPr>
            <w:tcW w:w="883" w:type="dxa"/>
            <w:tcBorders>
              <w:top w:val="nil"/>
              <w:left w:val="nil"/>
              <w:bottom w:val="single" w:sz="6" w:space="0" w:color="7F7F7F" w:themeColor="text1" w:themeTint="80"/>
              <w:right w:val="single" w:sz="6" w:space="0" w:color="7F7F7F" w:themeColor="text1" w:themeTint="80"/>
            </w:tcBorders>
            <w:hideMark/>
          </w:tcPr>
          <w:p w14:paraId="19BD25A6"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2,608</w:t>
            </w:r>
          </w:p>
        </w:tc>
        <w:tc>
          <w:tcPr>
            <w:tcW w:w="883" w:type="dxa"/>
            <w:tcBorders>
              <w:top w:val="nil"/>
              <w:left w:val="nil"/>
              <w:bottom w:val="single" w:sz="6" w:space="0" w:color="7F7F7F" w:themeColor="text1" w:themeTint="80"/>
              <w:right w:val="single" w:sz="6" w:space="0" w:color="7F7F7F" w:themeColor="text1" w:themeTint="80"/>
            </w:tcBorders>
            <w:hideMark/>
          </w:tcPr>
          <w:p w14:paraId="085A1545"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2,780</w:t>
            </w:r>
          </w:p>
        </w:tc>
        <w:tc>
          <w:tcPr>
            <w:tcW w:w="883" w:type="dxa"/>
            <w:tcBorders>
              <w:top w:val="nil"/>
              <w:left w:val="nil"/>
              <w:bottom w:val="single" w:sz="6" w:space="0" w:color="7F7F7F" w:themeColor="text1" w:themeTint="80"/>
              <w:right w:val="single" w:sz="6" w:space="0" w:color="7F7F7F" w:themeColor="text1" w:themeTint="80"/>
            </w:tcBorders>
            <w:hideMark/>
          </w:tcPr>
          <w:p w14:paraId="02EEA1E1"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2,456</w:t>
            </w:r>
          </w:p>
        </w:tc>
        <w:tc>
          <w:tcPr>
            <w:tcW w:w="884" w:type="dxa"/>
            <w:tcBorders>
              <w:top w:val="nil"/>
              <w:left w:val="nil"/>
              <w:bottom w:val="single" w:sz="6" w:space="0" w:color="7F7F7F" w:themeColor="text1" w:themeTint="80"/>
              <w:right w:val="single" w:sz="6" w:space="0" w:color="7F7F7F" w:themeColor="text1" w:themeTint="80"/>
            </w:tcBorders>
            <w:hideMark/>
          </w:tcPr>
          <w:p w14:paraId="17C4F5DB"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3,200</w:t>
            </w:r>
          </w:p>
        </w:tc>
        <w:tc>
          <w:tcPr>
            <w:tcW w:w="884" w:type="dxa"/>
            <w:tcBorders>
              <w:top w:val="nil"/>
              <w:left w:val="nil"/>
              <w:bottom w:val="single" w:sz="6" w:space="0" w:color="7F7F7F" w:themeColor="text1" w:themeTint="80"/>
              <w:right w:val="single" w:sz="6" w:space="0" w:color="7F7F7F" w:themeColor="text1" w:themeTint="80"/>
            </w:tcBorders>
            <w:hideMark/>
          </w:tcPr>
          <w:p w14:paraId="7A18801D"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3,558</w:t>
            </w:r>
          </w:p>
        </w:tc>
        <w:tc>
          <w:tcPr>
            <w:tcW w:w="884" w:type="dxa"/>
            <w:tcBorders>
              <w:top w:val="nil"/>
              <w:left w:val="nil"/>
              <w:bottom w:val="single" w:sz="6" w:space="0" w:color="7F7F7F" w:themeColor="text1" w:themeTint="80"/>
              <w:right w:val="single" w:sz="6" w:space="0" w:color="7F7F7F" w:themeColor="text1" w:themeTint="80"/>
            </w:tcBorders>
          </w:tcPr>
          <w:p w14:paraId="18F7DA2A" w14:textId="77777777" w:rsidR="00505B8E" w:rsidRPr="00505B8E" w:rsidRDefault="00505B8E" w:rsidP="00505B8E">
            <w:pPr>
              <w:jc w:val="right"/>
              <w:rPr>
                <w:rFonts w:asciiTheme="minorHAnsi" w:hAnsiTheme="minorHAnsi" w:cstheme="minorHAnsi"/>
                <w:sz w:val="20"/>
                <w:szCs w:val="20"/>
              </w:rPr>
            </w:pPr>
            <w:r w:rsidRPr="00505B8E">
              <w:rPr>
                <w:rFonts w:asciiTheme="minorHAnsi" w:hAnsiTheme="minorHAnsi" w:cstheme="minorHAnsi"/>
                <w:sz w:val="20"/>
                <w:szCs w:val="20"/>
              </w:rPr>
              <w:t>3,664</w:t>
            </w:r>
          </w:p>
        </w:tc>
      </w:tr>
      <w:tr w:rsidR="00505B8E" w:rsidRPr="00792D4B" w14:paraId="215E4060" w14:textId="77777777" w:rsidTr="00505B8E">
        <w:tc>
          <w:tcPr>
            <w:tcW w:w="2294" w:type="dxa"/>
            <w:tcBorders>
              <w:top w:val="nil"/>
              <w:left w:val="single" w:sz="6" w:space="0" w:color="7F7F7F" w:themeColor="text1" w:themeTint="80"/>
              <w:bottom w:val="single" w:sz="6" w:space="0" w:color="7F7F7F" w:themeColor="text1" w:themeTint="80"/>
              <w:right w:val="single" w:sz="6" w:space="0" w:color="7F7F7F" w:themeColor="text1" w:themeTint="80"/>
            </w:tcBorders>
            <w:vAlign w:val="center"/>
            <w:hideMark/>
          </w:tcPr>
          <w:p w14:paraId="00B3DDF0" w14:textId="77777777" w:rsidR="00505B8E" w:rsidRPr="00505B8E" w:rsidRDefault="00505B8E" w:rsidP="00505B8E">
            <w:pPr>
              <w:textAlignment w:val="baseline"/>
              <w:rPr>
                <w:rFonts w:asciiTheme="minorHAnsi" w:hAnsiTheme="minorHAnsi" w:cstheme="minorHAnsi"/>
                <w:sz w:val="20"/>
                <w:szCs w:val="20"/>
              </w:rPr>
            </w:pPr>
            <w:r w:rsidRPr="00505B8E">
              <w:rPr>
                <w:rFonts w:asciiTheme="minorHAnsi" w:hAnsiTheme="minorHAnsi" w:cstheme="minorHAnsi"/>
                <w:sz w:val="20"/>
                <w:szCs w:val="20"/>
              </w:rPr>
              <w:t>Licensed Locations </w:t>
            </w:r>
          </w:p>
        </w:tc>
        <w:tc>
          <w:tcPr>
            <w:tcW w:w="883" w:type="dxa"/>
            <w:tcBorders>
              <w:top w:val="nil"/>
              <w:left w:val="nil"/>
              <w:bottom w:val="single" w:sz="6" w:space="0" w:color="7F7F7F" w:themeColor="text1" w:themeTint="80"/>
              <w:right w:val="single" w:sz="6" w:space="0" w:color="7F7F7F" w:themeColor="text1" w:themeTint="80"/>
            </w:tcBorders>
            <w:vAlign w:val="center"/>
            <w:hideMark/>
          </w:tcPr>
          <w:p w14:paraId="0F55E714"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6,302</w:t>
            </w:r>
          </w:p>
        </w:tc>
        <w:tc>
          <w:tcPr>
            <w:tcW w:w="883" w:type="dxa"/>
            <w:tcBorders>
              <w:top w:val="nil"/>
              <w:left w:val="nil"/>
              <w:bottom w:val="single" w:sz="6" w:space="0" w:color="7F7F7F" w:themeColor="text1" w:themeTint="80"/>
              <w:right w:val="single" w:sz="6" w:space="0" w:color="7F7F7F" w:themeColor="text1" w:themeTint="80"/>
            </w:tcBorders>
            <w:hideMark/>
          </w:tcPr>
          <w:p w14:paraId="6D8EA828"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7,519</w:t>
            </w:r>
          </w:p>
        </w:tc>
        <w:tc>
          <w:tcPr>
            <w:tcW w:w="883" w:type="dxa"/>
            <w:tcBorders>
              <w:top w:val="nil"/>
              <w:left w:val="nil"/>
              <w:bottom w:val="single" w:sz="6" w:space="0" w:color="7F7F7F" w:themeColor="text1" w:themeTint="80"/>
              <w:right w:val="single" w:sz="6" w:space="0" w:color="7F7F7F" w:themeColor="text1" w:themeTint="80"/>
            </w:tcBorders>
            <w:hideMark/>
          </w:tcPr>
          <w:p w14:paraId="14D5ED39"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8,447</w:t>
            </w:r>
          </w:p>
        </w:tc>
        <w:tc>
          <w:tcPr>
            <w:tcW w:w="883" w:type="dxa"/>
            <w:tcBorders>
              <w:top w:val="nil"/>
              <w:left w:val="nil"/>
              <w:bottom w:val="single" w:sz="6" w:space="0" w:color="7F7F7F" w:themeColor="text1" w:themeTint="80"/>
              <w:right w:val="single" w:sz="6" w:space="0" w:color="7F7F7F" w:themeColor="text1" w:themeTint="80"/>
            </w:tcBorders>
            <w:hideMark/>
          </w:tcPr>
          <w:p w14:paraId="6DFA681D"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8,778</w:t>
            </w:r>
          </w:p>
        </w:tc>
        <w:tc>
          <w:tcPr>
            <w:tcW w:w="883" w:type="dxa"/>
            <w:tcBorders>
              <w:top w:val="nil"/>
              <w:left w:val="nil"/>
              <w:bottom w:val="single" w:sz="6" w:space="0" w:color="7F7F7F" w:themeColor="text1" w:themeTint="80"/>
              <w:right w:val="single" w:sz="6" w:space="0" w:color="7F7F7F" w:themeColor="text1" w:themeTint="80"/>
            </w:tcBorders>
            <w:hideMark/>
          </w:tcPr>
          <w:p w14:paraId="3A791A85"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8,133</w:t>
            </w:r>
          </w:p>
        </w:tc>
        <w:tc>
          <w:tcPr>
            <w:tcW w:w="884" w:type="dxa"/>
            <w:tcBorders>
              <w:top w:val="nil"/>
              <w:left w:val="nil"/>
              <w:bottom w:val="single" w:sz="6" w:space="0" w:color="7F7F7F" w:themeColor="text1" w:themeTint="80"/>
              <w:right w:val="single" w:sz="6" w:space="0" w:color="7F7F7F" w:themeColor="text1" w:themeTint="80"/>
            </w:tcBorders>
            <w:hideMark/>
          </w:tcPr>
          <w:p w14:paraId="52FB2F11"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10,753</w:t>
            </w:r>
          </w:p>
        </w:tc>
        <w:tc>
          <w:tcPr>
            <w:tcW w:w="884" w:type="dxa"/>
            <w:tcBorders>
              <w:top w:val="nil"/>
              <w:left w:val="nil"/>
              <w:bottom w:val="single" w:sz="6" w:space="0" w:color="7F7F7F" w:themeColor="text1" w:themeTint="80"/>
              <w:right w:val="single" w:sz="6" w:space="0" w:color="7F7F7F" w:themeColor="text1" w:themeTint="80"/>
            </w:tcBorders>
            <w:hideMark/>
          </w:tcPr>
          <w:p w14:paraId="09497559" w14:textId="77777777" w:rsidR="00505B8E" w:rsidRPr="00505B8E" w:rsidRDefault="00505B8E" w:rsidP="00505B8E">
            <w:pPr>
              <w:jc w:val="right"/>
              <w:textAlignment w:val="baseline"/>
              <w:rPr>
                <w:rFonts w:asciiTheme="minorHAnsi" w:hAnsiTheme="minorHAnsi" w:cstheme="minorHAnsi"/>
                <w:sz w:val="20"/>
                <w:szCs w:val="20"/>
              </w:rPr>
            </w:pPr>
            <w:r w:rsidRPr="00505B8E">
              <w:rPr>
                <w:rFonts w:asciiTheme="minorHAnsi" w:hAnsiTheme="minorHAnsi" w:cstheme="minorHAnsi"/>
                <w:sz w:val="20"/>
                <w:szCs w:val="20"/>
              </w:rPr>
              <w:t>11,632</w:t>
            </w:r>
          </w:p>
        </w:tc>
        <w:tc>
          <w:tcPr>
            <w:tcW w:w="884" w:type="dxa"/>
            <w:tcBorders>
              <w:top w:val="nil"/>
              <w:left w:val="nil"/>
              <w:bottom w:val="single" w:sz="6" w:space="0" w:color="7F7F7F" w:themeColor="text1" w:themeTint="80"/>
              <w:right w:val="single" w:sz="6" w:space="0" w:color="7F7F7F" w:themeColor="text1" w:themeTint="80"/>
            </w:tcBorders>
          </w:tcPr>
          <w:p w14:paraId="62278676" w14:textId="77777777" w:rsidR="00505B8E" w:rsidRPr="00505B8E" w:rsidRDefault="00505B8E" w:rsidP="00505B8E">
            <w:pPr>
              <w:jc w:val="right"/>
              <w:rPr>
                <w:rFonts w:asciiTheme="minorHAnsi" w:hAnsiTheme="minorHAnsi" w:cstheme="minorHAnsi"/>
                <w:sz w:val="20"/>
                <w:szCs w:val="20"/>
              </w:rPr>
            </w:pPr>
            <w:r w:rsidRPr="00505B8E">
              <w:rPr>
                <w:rFonts w:asciiTheme="minorHAnsi" w:hAnsiTheme="minorHAnsi" w:cstheme="minorHAnsi"/>
                <w:sz w:val="20"/>
                <w:szCs w:val="20"/>
              </w:rPr>
              <w:t>11,660</w:t>
            </w:r>
          </w:p>
        </w:tc>
      </w:tr>
    </w:tbl>
    <w:p w14:paraId="5CDD885E" w14:textId="37D85EBE" w:rsidR="005E7165" w:rsidRPr="00792D4B" w:rsidRDefault="005E7165" w:rsidP="00F46923">
      <w:pPr>
        <w:textAlignment w:val="baseline"/>
        <w:rPr>
          <w:sz w:val="18"/>
          <w:szCs w:val="18"/>
        </w:rPr>
      </w:pPr>
      <w:r>
        <w:t> *</w:t>
      </w:r>
      <w:r w:rsidRPr="00792D4B">
        <w:rPr>
          <w:sz w:val="20"/>
          <w:szCs w:val="20"/>
        </w:rPr>
        <w:t>FY2022 data includes data from the previous licensing system (OLIS) and the new system (CONNECT) and may be impacted by the conversion of data and difference in categorization of information.</w:t>
      </w:r>
      <w:r>
        <w:t xml:space="preserve"> </w:t>
      </w:r>
    </w:p>
    <w:p w14:paraId="643056A5" w14:textId="77777777" w:rsidR="005E7165" w:rsidRDefault="005E7165" w:rsidP="00F46923">
      <w:pPr>
        <w:textAlignment w:val="baseline"/>
        <w:rPr>
          <w:sz w:val="18"/>
          <w:szCs w:val="18"/>
        </w:rPr>
      </w:pPr>
    </w:p>
    <w:tbl>
      <w:tblPr>
        <w:tblStyle w:val="TableGrid"/>
        <w:tblpPr w:leftFromText="180" w:rightFromText="180" w:vertAnchor="text" w:tblpX="80" w:tblpY="1"/>
        <w:tblOverlap w:val="never"/>
        <w:tblW w:w="9265" w:type="dxa"/>
        <w:tblLook w:val="04A0" w:firstRow="1" w:lastRow="0" w:firstColumn="1" w:lastColumn="0" w:noHBand="0" w:noVBand="1"/>
      </w:tblPr>
      <w:tblGrid>
        <w:gridCol w:w="3775"/>
        <w:gridCol w:w="720"/>
        <w:gridCol w:w="4230"/>
        <w:gridCol w:w="540"/>
      </w:tblGrid>
      <w:tr w:rsidR="005E7165" w14:paraId="5B35FD6B" w14:textId="77777777" w:rsidTr="0097669C">
        <w:tc>
          <w:tcPr>
            <w:tcW w:w="9265" w:type="dxa"/>
            <w:gridSpan w:val="4"/>
            <w:tcBorders>
              <w:top w:val="single" w:sz="4" w:space="0" w:color="auto"/>
              <w:left w:val="single" w:sz="4" w:space="0" w:color="auto"/>
              <w:bottom w:val="single" w:sz="4" w:space="0" w:color="auto"/>
              <w:right w:val="single" w:sz="4" w:space="0" w:color="auto"/>
            </w:tcBorders>
            <w:tcMar>
              <w:left w:w="29" w:type="dxa"/>
              <w:right w:w="29" w:type="dxa"/>
            </w:tcMar>
            <w:hideMark/>
          </w:tcPr>
          <w:p w14:paraId="13C08188" w14:textId="7A1F83DB" w:rsidR="005E7165" w:rsidRPr="00505B8E" w:rsidRDefault="005E7165" w:rsidP="0097669C">
            <w:pPr>
              <w:jc w:val="center"/>
              <w:textAlignment w:val="baseline"/>
              <w:rPr>
                <w:rFonts w:asciiTheme="minorHAnsi" w:hAnsiTheme="minorHAnsi" w:cstheme="minorHAnsi"/>
                <w:sz w:val="20"/>
                <w:szCs w:val="20"/>
              </w:rPr>
            </w:pPr>
            <w:r w:rsidRPr="00505B8E">
              <w:rPr>
                <w:rFonts w:asciiTheme="minorHAnsi" w:hAnsiTheme="minorHAnsi" w:cstheme="minorHAnsi"/>
                <w:b/>
                <w:bCs/>
                <w:sz w:val="20"/>
                <w:szCs w:val="20"/>
              </w:rPr>
              <w:t>Services in FY 2022</w:t>
            </w:r>
            <w:r w:rsidR="00505B8E" w:rsidRPr="00505B8E">
              <w:rPr>
                <w:rFonts w:asciiTheme="minorHAnsi" w:hAnsiTheme="minorHAnsi" w:cstheme="minorHAnsi"/>
                <w:b/>
                <w:bCs/>
                <w:sz w:val="20"/>
                <w:szCs w:val="20"/>
              </w:rPr>
              <w:t xml:space="preserve"> </w:t>
            </w:r>
            <w:r w:rsidRPr="00505B8E">
              <w:rPr>
                <w:rFonts w:asciiTheme="minorHAnsi" w:hAnsiTheme="minorHAnsi" w:cstheme="minorHAnsi"/>
                <w:b/>
                <w:bCs/>
                <w:sz w:val="20"/>
                <w:szCs w:val="20"/>
              </w:rPr>
              <w:t>**Providers may be licensed for multiple services</w:t>
            </w:r>
          </w:p>
        </w:tc>
      </w:tr>
      <w:tr w:rsidR="005E7165" w14:paraId="4314DA91" w14:textId="77777777" w:rsidTr="0097669C">
        <w:tc>
          <w:tcPr>
            <w:tcW w:w="3775"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4147E8DC"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 xml:space="preserve">Residential Crisis Stabilization </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7EBD047A"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26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3461C43E"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Nonresidential Crisis Stabilization/crisis intervention</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25B2452F"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261</w:t>
            </w:r>
          </w:p>
        </w:tc>
      </w:tr>
      <w:tr w:rsidR="005E7165" w14:paraId="7EAEF376" w14:textId="77777777" w:rsidTr="0097669C">
        <w:tc>
          <w:tcPr>
            <w:tcW w:w="3775"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1211B2E3" w14:textId="72C8CBD6"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 xml:space="preserve">Inpatient Psychiatric Unit </w:t>
            </w:r>
            <w:r w:rsidR="0097669C">
              <w:rPr>
                <w:rFonts w:asciiTheme="minorHAnsi" w:hAnsiTheme="minorHAnsi" w:cstheme="minorHAnsi"/>
                <w:sz w:val="20"/>
                <w:szCs w:val="20"/>
              </w:rPr>
              <w:br/>
            </w:r>
            <w:r w:rsidR="0097669C" w:rsidRPr="0097669C">
              <w:rPr>
                <w:rFonts w:asciiTheme="minorHAnsi" w:hAnsiTheme="minorHAnsi" w:cstheme="minorHAnsi"/>
                <w:sz w:val="18"/>
                <w:szCs w:val="18"/>
              </w:rPr>
              <w:t>(41 adults/14 children)</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4C086982"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 xml:space="preserve">55 </w:t>
            </w:r>
          </w:p>
          <w:p w14:paraId="79C47F28" w14:textId="3C51B584" w:rsidR="005E7165" w:rsidRPr="0097669C" w:rsidRDefault="005E7165" w:rsidP="0097669C">
            <w:pPr>
              <w:spacing w:line="180" w:lineRule="exact"/>
              <w:jc w:val="right"/>
              <w:rPr>
                <w:rFonts w:asciiTheme="minorHAnsi" w:hAnsiTheme="minorHAnsi" w:cstheme="minorHAnsi"/>
                <w:sz w:val="18"/>
                <w:szCs w:val="18"/>
              </w:rPr>
            </w:pP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024F270F"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 xml:space="preserve">Medically Monitored Intensive Inpatient Treatment </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319A11F0"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34</w:t>
            </w:r>
          </w:p>
        </w:tc>
      </w:tr>
      <w:tr w:rsidR="005E7165" w14:paraId="2229D11B" w14:textId="77777777" w:rsidTr="0097669C">
        <w:trPr>
          <w:trHeight w:val="70"/>
        </w:trPr>
        <w:tc>
          <w:tcPr>
            <w:tcW w:w="3775"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18BEED75" w14:textId="6592717B"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 xml:space="preserve">Substance Abuse </w:t>
            </w:r>
            <w:r w:rsidR="0097669C">
              <w:rPr>
                <w:rFonts w:asciiTheme="minorHAnsi" w:hAnsiTheme="minorHAnsi" w:cstheme="minorHAnsi"/>
                <w:sz w:val="20"/>
                <w:szCs w:val="20"/>
              </w:rPr>
              <w:t xml:space="preserve">Adult </w:t>
            </w:r>
            <w:r w:rsidRPr="00505B8E">
              <w:rPr>
                <w:rFonts w:asciiTheme="minorHAnsi" w:hAnsiTheme="minorHAnsi" w:cstheme="minorHAnsi"/>
                <w:sz w:val="20"/>
                <w:szCs w:val="20"/>
              </w:rPr>
              <w:t>Residential Services</w:t>
            </w:r>
          </w:p>
          <w:p w14:paraId="6FA85115" w14:textId="54EB7445" w:rsidR="005E7165" w:rsidRPr="0097669C" w:rsidRDefault="005E7165" w:rsidP="009054AA">
            <w:pPr>
              <w:pStyle w:val="NoSpacing"/>
              <w:numPr>
                <w:ilvl w:val="0"/>
                <w:numId w:val="42"/>
              </w:numPr>
              <w:spacing w:line="200" w:lineRule="exact"/>
              <w:ind w:left="245" w:hanging="187"/>
              <w:rPr>
                <w:color w:val="000000" w:themeColor="text1"/>
                <w:sz w:val="18"/>
                <w:szCs w:val="18"/>
              </w:rPr>
            </w:pPr>
            <w:r w:rsidRPr="0097669C">
              <w:rPr>
                <w:sz w:val="18"/>
                <w:szCs w:val="18"/>
              </w:rPr>
              <w:t>Clinically managed high intensity residential</w:t>
            </w:r>
          </w:p>
          <w:p w14:paraId="273B7995" w14:textId="292C5B0D" w:rsidR="005E7165" w:rsidRPr="0097669C" w:rsidRDefault="005E7165" w:rsidP="009054AA">
            <w:pPr>
              <w:pStyle w:val="NoSpacing"/>
              <w:numPr>
                <w:ilvl w:val="0"/>
                <w:numId w:val="42"/>
              </w:numPr>
              <w:spacing w:line="200" w:lineRule="exact"/>
              <w:ind w:left="245" w:hanging="187"/>
              <w:rPr>
                <w:color w:val="000000" w:themeColor="text1"/>
                <w:sz w:val="18"/>
                <w:szCs w:val="18"/>
              </w:rPr>
            </w:pPr>
            <w:r w:rsidRPr="0097669C">
              <w:rPr>
                <w:sz w:val="18"/>
                <w:szCs w:val="18"/>
              </w:rPr>
              <w:t>Clinically managed low-intensity residential</w:t>
            </w:r>
          </w:p>
          <w:p w14:paraId="2FB412C9" w14:textId="77777777" w:rsidR="005E7165" w:rsidRPr="00505B8E" w:rsidRDefault="005E7165" w:rsidP="009054AA">
            <w:pPr>
              <w:pStyle w:val="NoSpacing"/>
              <w:numPr>
                <w:ilvl w:val="0"/>
                <w:numId w:val="42"/>
              </w:numPr>
              <w:spacing w:line="200" w:lineRule="exact"/>
              <w:ind w:left="245" w:hanging="187"/>
              <w:rPr>
                <w:color w:val="000000" w:themeColor="text1"/>
              </w:rPr>
            </w:pPr>
            <w:r w:rsidRPr="0097669C">
              <w:rPr>
                <w:sz w:val="18"/>
                <w:szCs w:val="18"/>
              </w:rPr>
              <w:t>Specific high intensity residential</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2A4171B4"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49</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2BB3C136" w14:textId="39612ECD"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 xml:space="preserve">Substance Abuse </w:t>
            </w:r>
            <w:r w:rsidR="0097669C">
              <w:rPr>
                <w:rFonts w:asciiTheme="minorHAnsi" w:hAnsiTheme="minorHAnsi" w:cstheme="minorHAnsi"/>
                <w:sz w:val="20"/>
                <w:szCs w:val="20"/>
              </w:rPr>
              <w:t xml:space="preserve">Children </w:t>
            </w:r>
            <w:r w:rsidRPr="00505B8E">
              <w:rPr>
                <w:rFonts w:asciiTheme="minorHAnsi" w:hAnsiTheme="minorHAnsi" w:cstheme="minorHAnsi"/>
                <w:sz w:val="20"/>
                <w:szCs w:val="20"/>
              </w:rPr>
              <w:t xml:space="preserve">Residential Services </w:t>
            </w:r>
          </w:p>
          <w:p w14:paraId="2A07FEA6" w14:textId="6C4F108E" w:rsidR="005E7165" w:rsidRPr="0097669C" w:rsidRDefault="005E7165" w:rsidP="009054AA">
            <w:pPr>
              <w:pStyle w:val="ListParagraph"/>
              <w:numPr>
                <w:ilvl w:val="0"/>
                <w:numId w:val="43"/>
              </w:numPr>
              <w:spacing w:line="200" w:lineRule="exact"/>
              <w:ind w:left="151" w:hanging="151"/>
              <w:rPr>
                <w:rFonts w:asciiTheme="minorHAnsi" w:hAnsiTheme="minorHAnsi" w:cstheme="minorHAnsi"/>
                <w:color w:val="000000" w:themeColor="text1"/>
                <w:sz w:val="18"/>
                <w:szCs w:val="18"/>
              </w:rPr>
            </w:pPr>
            <w:r w:rsidRPr="0097669C">
              <w:rPr>
                <w:rFonts w:asciiTheme="minorHAnsi" w:hAnsiTheme="minorHAnsi" w:cstheme="minorHAnsi"/>
                <w:sz w:val="18"/>
                <w:szCs w:val="18"/>
              </w:rPr>
              <w:t>Clinically managed low-intensity residential</w:t>
            </w:r>
          </w:p>
          <w:p w14:paraId="0FC0EB77" w14:textId="6D1DC2F1" w:rsidR="005E7165" w:rsidRPr="00505B8E" w:rsidRDefault="005E7165" w:rsidP="009054AA">
            <w:pPr>
              <w:pStyle w:val="ListParagraph"/>
              <w:numPr>
                <w:ilvl w:val="0"/>
                <w:numId w:val="43"/>
              </w:numPr>
              <w:spacing w:line="200" w:lineRule="exact"/>
              <w:ind w:left="151" w:hanging="151"/>
              <w:rPr>
                <w:rFonts w:asciiTheme="minorHAnsi" w:hAnsiTheme="minorHAnsi" w:cstheme="minorHAnsi"/>
                <w:color w:val="000000" w:themeColor="text1"/>
                <w:sz w:val="20"/>
                <w:szCs w:val="20"/>
              </w:rPr>
            </w:pPr>
            <w:r w:rsidRPr="0097669C">
              <w:rPr>
                <w:rFonts w:asciiTheme="minorHAnsi" w:hAnsiTheme="minorHAnsi" w:cstheme="minorHAnsi"/>
                <w:sz w:val="18"/>
                <w:szCs w:val="18"/>
              </w:rPr>
              <w:t xml:space="preserve">Clinically managed medium-intensity residential </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771600CE"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2</w:t>
            </w:r>
          </w:p>
        </w:tc>
      </w:tr>
      <w:tr w:rsidR="005E7165" w14:paraId="4D0B0408" w14:textId="77777777" w:rsidTr="0097669C">
        <w:tc>
          <w:tcPr>
            <w:tcW w:w="3775"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3947AC6F" w14:textId="66BB2493"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DD Supportive In-Home</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0DAEFDF0"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152</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0D508AFA" w14:textId="7CA0F293"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MH Intensive In-Home</w:t>
            </w:r>
            <w:r w:rsidR="0097669C">
              <w:rPr>
                <w:rFonts w:asciiTheme="minorHAnsi" w:hAnsiTheme="minorHAnsi" w:cstheme="minorHAnsi"/>
                <w:sz w:val="20"/>
                <w:szCs w:val="20"/>
              </w:rPr>
              <w:t xml:space="preserve"> </w:t>
            </w:r>
            <w:r w:rsidRPr="00505B8E">
              <w:rPr>
                <w:rFonts w:asciiTheme="minorHAnsi" w:hAnsiTheme="minorHAnsi" w:cstheme="minorHAnsi"/>
                <w:sz w:val="20"/>
                <w:szCs w:val="20"/>
              </w:rPr>
              <w:t>children</w:t>
            </w:r>
            <w:r w:rsidR="0097669C">
              <w:rPr>
                <w:rFonts w:asciiTheme="minorHAnsi" w:hAnsiTheme="minorHAnsi" w:cstheme="minorHAnsi"/>
                <w:sz w:val="20"/>
                <w:szCs w:val="20"/>
              </w:rPr>
              <w:t>/</w:t>
            </w:r>
            <w:r w:rsidRPr="00505B8E">
              <w:rPr>
                <w:rFonts w:asciiTheme="minorHAnsi" w:hAnsiTheme="minorHAnsi" w:cstheme="minorHAnsi"/>
                <w:sz w:val="20"/>
                <w:szCs w:val="20"/>
              </w:rPr>
              <w:t>adolescents</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65F0416E"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346</w:t>
            </w:r>
          </w:p>
        </w:tc>
      </w:tr>
      <w:tr w:rsidR="005E7165" w14:paraId="5B036545" w14:textId="77777777" w:rsidTr="0097669C">
        <w:tc>
          <w:tcPr>
            <w:tcW w:w="3775"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3AA69666"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Supervised Living</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23E4ABAF"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47</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169B303E"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Sponsored Residential</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5A9681EE"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110</w:t>
            </w:r>
          </w:p>
        </w:tc>
      </w:tr>
      <w:tr w:rsidR="005E7165" w14:paraId="47736F55" w14:textId="77777777" w:rsidTr="0097669C">
        <w:tc>
          <w:tcPr>
            <w:tcW w:w="3775"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2C50F1CB"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 xml:space="preserve">Brain Injury Residential Tx Service </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3858B789"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2</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3E85E4DA"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 xml:space="preserve">MH </w:t>
            </w:r>
            <w:proofErr w:type="gramStart"/>
            <w:r w:rsidRPr="00505B8E">
              <w:rPr>
                <w:rFonts w:asciiTheme="minorHAnsi" w:hAnsiTheme="minorHAnsi" w:cstheme="minorHAnsi"/>
                <w:sz w:val="20"/>
                <w:szCs w:val="20"/>
              </w:rPr>
              <w:t>correctional Facility</w:t>
            </w:r>
            <w:proofErr w:type="gramEnd"/>
            <w:r w:rsidRPr="00505B8E">
              <w:rPr>
                <w:rFonts w:asciiTheme="minorHAnsi" w:hAnsiTheme="minorHAnsi" w:cstheme="minorHAnsi"/>
                <w:sz w:val="20"/>
                <w:szCs w:val="20"/>
              </w:rPr>
              <w:t xml:space="preserve"> RTC  </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31A9501E"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3</w:t>
            </w:r>
          </w:p>
        </w:tc>
      </w:tr>
      <w:tr w:rsidR="005E7165" w14:paraId="54BBB7BE" w14:textId="77777777" w:rsidTr="0097669C">
        <w:tc>
          <w:tcPr>
            <w:tcW w:w="3775"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3282E0F4"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MH skill building</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61FCB8A5"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498</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37448123"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Case Management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5A1AE478"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192</w:t>
            </w:r>
          </w:p>
        </w:tc>
      </w:tr>
      <w:tr w:rsidR="005E7165" w14:paraId="7C433FE5" w14:textId="77777777" w:rsidTr="0097669C">
        <w:tc>
          <w:tcPr>
            <w:tcW w:w="3775"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4084E04C" w14:textId="0A896659"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Psychiatric Residential Treatment Facility children</w:t>
            </w:r>
            <w:r w:rsidR="0097669C">
              <w:rPr>
                <w:rFonts w:asciiTheme="minorHAnsi" w:hAnsiTheme="minorHAnsi" w:cstheme="minorHAnsi"/>
                <w:sz w:val="20"/>
                <w:szCs w:val="20"/>
              </w:rPr>
              <w:t>/</w:t>
            </w:r>
            <w:r w:rsidRPr="00505B8E">
              <w:rPr>
                <w:rFonts w:asciiTheme="minorHAnsi" w:hAnsiTheme="minorHAnsi" w:cstheme="minorHAnsi"/>
                <w:sz w:val="20"/>
                <w:szCs w:val="20"/>
              </w:rPr>
              <w:t>adolescents</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449D8925"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26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6AA3197F" w14:textId="569AC914" w:rsidR="005E7165" w:rsidRPr="00505B8E" w:rsidRDefault="005E7165" w:rsidP="0097669C">
            <w:pPr>
              <w:rPr>
                <w:rFonts w:asciiTheme="minorHAnsi" w:hAnsiTheme="minorHAnsi" w:cstheme="minorHAnsi"/>
                <w:sz w:val="20"/>
                <w:szCs w:val="20"/>
              </w:rPr>
            </w:pPr>
            <w:r w:rsidRPr="00505B8E">
              <w:rPr>
                <w:rFonts w:asciiTheme="minorHAnsi" w:eastAsiaTheme="minorEastAsia" w:hAnsiTheme="minorHAnsi" w:cstheme="minorHAnsi"/>
                <w:sz w:val="20"/>
                <w:szCs w:val="20"/>
              </w:rPr>
              <w:t>Therapeutic Group Home</w:t>
            </w:r>
            <w:r w:rsidR="0097669C">
              <w:rPr>
                <w:rFonts w:asciiTheme="minorHAnsi" w:eastAsiaTheme="minorEastAsia" w:hAnsiTheme="minorHAnsi" w:cstheme="minorHAnsi"/>
                <w:sz w:val="20"/>
                <w:szCs w:val="20"/>
              </w:rPr>
              <w:t xml:space="preserve"> c</w:t>
            </w:r>
            <w:r w:rsidRPr="00505B8E">
              <w:rPr>
                <w:rFonts w:asciiTheme="minorHAnsi" w:eastAsiaTheme="minorEastAsia" w:hAnsiTheme="minorHAnsi" w:cstheme="minorHAnsi"/>
                <w:sz w:val="20"/>
                <w:szCs w:val="20"/>
              </w:rPr>
              <w:t>hildren</w:t>
            </w:r>
            <w:r w:rsidR="0097669C">
              <w:rPr>
                <w:rFonts w:asciiTheme="minorHAnsi" w:eastAsiaTheme="minorEastAsia" w:hAnsiTheme="minorHAnsi" w:cstheme="minorHAnsi"/>
                <w:sz w:val="20"/>
                <w:szCs w:val="20"/>
              </w:rPr>
              <w:t>/</w:t>
            </w:r>
            <w:r w:rsidRPr="00505B8E">
              <w:rPr>
                <w:rFonts w:asciiTheme="minorHAnsi" w:eastAsiaTheme="minorEastAsia" w:hAnsiTheme="minorHAnsi" w:cstheme="minorHAnsi"/>
                <w:sz w:val="20"/>
                <w:szCs w:val="20"/>
              </w:rPr>
              <w:t>adolescents</w:t>
            </w:r>
            <w:r w:rsidRPr="00505B8E">
              <w:rPr>
                <w:rFonts w:asciiTheme="minorHAnsi" w:hAnsiTheme="minorHAnsi" w:cstheme="minorHAnsi"/>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0E15FACD"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75</w:t>
            </w:r>
          </w:p>
        </w:tc>
      </w:tr>
      <w:tr w:rsidR="005E7165" w14:paraId="71A78E89" w14:textId="77777777" w:rsidTr="0097669C">
        <w:tc>
          <w:tcPr>
            <w:tcW w:w="3775"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3AF72196"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 xml:space="preserve">Group Home Service and ICF/IID for adults </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35D058D3"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563</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14EC6E9F" w14:textId="2F825ADA"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DD Children Group Home Residential and ICF/IID</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4D5C86AE"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23</w:t>
            </w:r>
          </w:p>
        </w:tc>
      </w:tr>
      <w:tr w:rsidR="005E7165" w14:paraId="23D0B6DE" w14:textId="77777777" w:rsidTr="0097669C">
        <w:tc>
          <w:tcPr>
            <w:tcW w:w="3775"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441408FE"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 xml:space="preserve">Substance abuse partial hospitalization </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4FA9CF6A"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46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4086F8DD"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 xml:space="preserve">Mental health partial hospitalization </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15060A95"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36</w:t>
            </w:r>
          </w:p>
        </w:tc>
      </w:tr>
      <w:tr w:rsidR="005E7165" w14:paraId="73250FF0" w14:textId="77777777" w:rsidTr="0097669C">
        <w:tc>
          <w:tcPr>
            <w:tcW w:w="3775"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19043A18"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 xml:space="preserve">Substance abuse intensive outpatient </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52355D38"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169</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64461784"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Mental health intensive outpatient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70010B8D"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41</w:t>
            </w:r>
          </w:p>
        </w:tc>
      </w:tr>
      <w:tr w:rsidR="005E7165" w14:paraId="31F317F6" w14:textId="77777777" w:rsidTr="0097669C">
        <w:tc>
          <w:tcPr>
            <w:tcW w:w="3775"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6FE163CB"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Substance abuse outpatient</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34BE5B75"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133</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05C762F6"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Mental health outpatient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4D2C2778"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131</w:t>
            </w:r>
          </w:p>
        </w:tc>
      </w:tr>
      <w:tr w:rsidR="005E7165" w14:paraId="5784F063" w14:textId="77777777" w:rsidTr="0097669C">
        <w:tc>
          <w:tcPr>
            <w:tcW w:w="3775"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55EB0B63"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lastRenderedPageBreak/>
              <w:t>MH Psychosocial Rehabilitation</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3520B8B2"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85</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435A5570"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Therapeutic Day Treatment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7B8C7C2E"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107</w:t>
            </w:r>
          </w:p>
        </w:tc>
      </w:tr>
      <w:tr w:rsidR="005E7165" w14:paraId="329DE12A" w14:textId="77777777" w:rsidTr="0097669C">
        <w:tc>
          <w:tcPr>
            <w:tcW w:w="3775"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2206F396"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 xml:space="preserve">DD Day Support </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7FBB915D"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341</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59C48EC0"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Respite (residential, in-home, centered based</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64A5403A"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24</w:t>
            </w:r>
          </w:p>
        </w:tc>
      </w:tr>
      <w:tr w:rsidR="005E7165" w14:paraId="09053D95" w14:textId="77777777" w:rsidTr="0097669C">
        <w:tc>
          <w:tcPr>
            <w:tcW w:w="3775"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6DD3D7E7"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 xml:space="preserve">ACT/ICT </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730EBC57"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39</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175C4686" w14:textId="77777777" w:rsidR="005E7165" w:rsidRPr="00505B8E" w:rsidRDefault="005E7165" w:rsidP="0097669C">
            <w:pPr>
              <w:rPr>
                <w:rFonts w:asciiTheme="minorHAnsi" w:hAnsiTheme="minorHAnsi" w:cstheme="minorHAnsi"/>
                <w:sz w:val="20"/>
                <w:szCs w:val="20"/>
              </w:rPr>
            </w:pPr>
            <w:r w:rsidRPr="00505B8E">
              <w:rPr>
                <w:rFonts w:asciiTheme="minorHAnsi" w:hAnsiTheme="minorHAnsi" w:cstheme="minorHAnsi"/>
                <w:sz w:val="20"/>
                <w:szCs w:val="20"/>
              </w:rPr>
              <w:t xml:space="preserve">Medication Assisted Opioid Treatment </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4A0A5254" w14:textId="77777777" w:rsidR="005E7165" w:rsidRPr="00505B8E" w:rsidRDefault="005E7165" w:rsidP="0097669C">
            <w:pPr>
              <w:jc w:val="right"/>
              <w:rPr>
                <w:rFonts w:asciiTheme="minorHAnsi" w:hAnsiTheme="minorHAnsi" w:cstheme="minorHAnsi"/>
                <w:sz w:val="20"/>
                <w:szCs w:val="20"/>
              </w:rPr>
            </w:pPr>
            <w:r w:rsidRPr="00505B8E">
              <w:rPr>
                <w:rFonts w:asciiTheme="minorHAnsi" w:hAnsiTheme="minorHAnsi" w:cstheme="minorHAnsi"/>
                <w:sz w:val="20"/>
                <w:szCs w:val="20"/>
              </w:rPr>
              <w:t>45</w:t>
            </w:r>
          </w:p>
        </w:tc>
      </w:tr>
    </w:tbl>
    <w:p w14:paraId="64E85057" w14:textId="105B3BD9" w:rsidR="00D530C5" w:rsidRPr="00E26CE7" w:rsidRDefault="00E56E46" w:rsidP="00F46923">
      <w:pPr>
        <w:textAlignment w:val="baseline"/>
        <w:rPr>
          <w:b/>
          <w:i/>
          <w:color w:val="00B050"/>
          <w:sz w:val="26"/>
          <w:szCs w:val="26"/>
        </w:rPr>
      </w:pPr>
      <w:r>
        <w:rPr>
          <w:b/>
          <w:i/>
        </w:rPr>
        <w:br/>
      </w:r>
      <w:r w:rsidR="00D530C5" w:rsidRPr="00E26CE7">
        <w:rPr>
          <w:b/>
          <w:i/>
          <w:sz w:val="26"/>
          <w:szCs w:val="26"/>
        </w:rPr>
        <w:t xml:space="preserve">Human Rights </w:t>
      </w:r>
    </w:p>
    <w:p w14:paraId="35773784" w14:textId="1C0068A3" w:rsidR="00092595" w:rsidRPr="0061366E" w:rsidRDefault="00092595" w:rsidP="00F46923">
      <w:r>
        <w:t xml:space="preserve">Human Rights </w:t>
      </w:r>
      <w:r w:rsidRPr="00627065">
        <w:t>is a</w:t>
      </w:r>
      <w:r w:rsidR="0097669C">
        <w:t xml:space="preserve"> Code-mandated </w:t>
      </w:r>
      <w:r w:rsidRPr="00627065">
        <w:t xml:space="preserve">internal advocacy system for DBHDS but external to programs operated, funded, or licensed by DBHDS. OHR provides direct advocacy services to individuals receiving services from programs operated, </w:t>
      </w:r>
      <w:proofErr w:type="gramStart"/>
      <w:r w:rsidRPr="00627065">
        <w:t>funded</w:t>
      </w:r>
      <w:proofErr w:type="gramEnd"/>
      <w:r w:rsidRPr="00627065">
        <w:t xml:space="preserve"> and licensed by DBHDS. </w:t>
      </w:r>
      <w:r w:rsidR="0097669C">
        <w:t>Staff</w:t>
      </w:r>
      <w:r w:rsidRPr="00627065">
        <w:t xml:space="preserve"> facilitate due process for individuals who allege human rights violations, examine conditions that impact individual’s rights and monitor state operated facility and provider compliance with the Regulations. </w:t>
      </w:r>
      <w:r w:rsidR="0097669C">
        <w:t>Staff</w:t>
      </w:r>
      <w:r w:rsidRPr="00627065">
        <w:t xml:space="preserve"> also </w:t>
      </w:r>
      <w:r w:rsidR="0097669C">
        <w:t>monitor</w:t>
      </w:r>
      <w:r w:rsidRPr="00627065">
        <w:t xml:space="preserve"> individuals discharged from training </w:t>
      </w:r>
      <w:r w:rsidR="00E26CE7" w:rsidRPr="00627065">
        <w:t>centers and</w:t>
      </w:r>
      <w:r w:rsidRPr="00627065">
        <w:t xml:space="preserve"> conduct onsite reviews of newly licensed Waiver providers to assess compliance with the</w:t>
      </w:r>
      <w:r>
        <w:t xml:space="preserve"> Home and Community Based Settings</w:t>
      </w:r>
      <w:r w:rsidRPr="00627065">
        <w:t xml:space="preserve"> </w:t>
      </w:r>
      <w:r>
        <w:t>(</w:t>
      </w:r>
      <w:r w:rsidRPr="00627065">
        <w:t>HCBS</w:t>
      </w:r>
      <w:r>
        <w:t>)</w:t>
      </w:r>
      <w:r w:rsidRPr="00627065">
        <w:t xml:space="preserve"> Settings Rule.</w:t>
      </w:r>
      <w:r w:rsidR="00341FA0">
        <w:t xml:space="preserve"> </w:t>
      </w:r>
      <w:r w:rsidRPr="0061366E">
        <w:t>Significant activities in FY</w:t>
      </w:r>
      <w:r w:rsidR="0097669C">
        <w:t xml:space="preserve"> </w:t>
      </w:r>
      <w:r w:rsidRPr="0061366E">
        <w:t>2022 included:</w:t>
      </w:r>
      <w:r w:rsidRPr="0061366E">
        <w:rPr>
          <w:i/>
        </w:rPr>
        <w:t xml:space="preserve"> </w:t>
      </w:r>
    </w:p>
    <w:p w14:paraId="23249A11" w14:textId="77777777" w:rsidR="00341FA0" w:rsidRDefault="00341FA0" w:rsidP="009054AA">
      <w:pPr>
        <w:pStyle w:val="ListParagraph"/>
        <w:numPr>
          <w:ilvl w:val="0"/>
          <w:numId w:val="44"/>
        </w:numPr>
        <w:spacing w:after="0" w:line="240" w:lineRule="auto"/>
        <w:ind w:left="540"/>
        <w:rPr>
          <w:rFonts w:ascii="Times New Roman" w:hAnsi="Times New Roman"/>
          <w:sz w:val="24"/>
          <w:szCs w:val="24"/>
        </w:rPr>
      </w:pPr>
      <w:r w:rsidRPr="00341FA0">
        <w:rPr>
          <w:rFonts w:ascii="Times New Roman" w:hAnsi="Times New Roman"/>
          <w:sz w:val="24"/>
          <w:szCs w:val="24"/>
        </w:rPr>
        <w:t xml:space="preserve">Completed 480 AIM (assess safety, initiate process, monitor compliance) reviews to ensure the safety of individuals receiving services following substantiated cases of serious abuse involving sexual assault, restraint with serious injury, and physical abuse with injury.  </w:t>
      </w:r>
    </w:p>
    <w:p w14:paraId="4E373493" w14:textId="77777777" w:rsidR="00341FA0" w:rsidRPr="00341FA0" w:rsidRDefault="00341FA0" w:rsidP="009054AA">
      <w:pPr>
        <w:pStyle w:val="ListParagraph"/>
        <w:numPr>
          <w:ilvl w:val="0"/>
          <w:numId w:val="44"/>
        </w:numPr>
        <w:spacing w:after="0" w:line="240" w:lineRule="auto"/>
        <w:ind w:left="540"/>
        <w:rPr>
          <w:rFonts w:ascii="Times New Roman" w:hAnsi="Times New Roman"/>
          <w:sz w:val="24"/>
          <w:szCs w:val="24"/>
        </w:rPr>
      </w:pPr>
      <w:r>
        <w:rPr>
          <w:rFonts w:ascii="Times New Roman" w:hAnsi="Times New Roman"/>
          <w:sz w:val="24"/>
          <w:szCs w:val="24"/>
        </w:rPr>
        <w:t>C</w:t>
      </w:r>
      <w:r w:rsidRPr="00341FA0">
        <w:rPr>
          <w:rFonts w:ascii="Times New Roman" w:hAnsi="Times New Roman"/>
          <w:sz w:val="24"/>
          <w:szCs w:val="24"/>
        </w:rPr>
        <w:t>ollaborated with APS and CPS to validate accurate reporting of allegations of abuse and neglect</w:t>
      </w:r>
      <w:r>
        <w:rPr>
          <w:rFonts w:ascii="Times New Roman" w:hAnsi="Times New Roman"/>
          <w:sz w:val="24"/>
          <w:szCs w:val="24"/>
        </w:rPr>
        <w:t xml:space="preserve"> to identify 1</w:t>
      </w:r>
      <w:r w:rsidRPr="00341FA0">
        <w:rPr>
          <w:rFonts w:ascii="Times New Roman" w:hAnsi="Times New Roman"/>
          <w:sz w:val="24"/>
          <w:szCs w:val="24"/>
        </w:rPr>
        <w:t xml:space="preserve">60 allegations of abuse and neglect that had not been reported, which resulted in 25 citations for substantiated abuse and neglect. </w:t>
      </w:r>
    </w:p>
    <w:p w14:paraId="30C6F2FC" w14:textId="4FCF6964" w:rsidR="00341FA0" w:rsidRPr="00F40967" w:rsidRDefault="00341FA0" w:rsidP="009054AA">
      <w:pPr>
        <w:pStyle w:val="ListParagraph"/>
        <w:numPr>
          <w:ilvl w:val="0"/>
          <w:numId w:val="44"/>
        </w:numPr>
        <w:spacing w:after="0" w:line="240" w:lineRule="auto"/>
        <w:ind w:left="540"/>
        <w:rPr>
          <w:rFonts w:ascii="Times New Roman" w:hAnsi="Times New Roman"/>
          <w:sz w:val="24"/>
          <w:szCs w:val="24"/>
        </w:rPr>
      </w:pPr>
      <w:r w:rsidRPr="0097669C">
        <w:rPr>
          <w:rFonts w:ascii="Times New Roman" w:hAnsi="Times New Roman"/>
          <w:sz w:val="24"/>
          <w:szCs w:val="24"/>
        </w:rPr>
        <w:t>Revis</w:t>
      </w:r>
      <w:r w:rsidR="00F40967">
        <w:rPr>
          <w:rFonts w:ascii="Times New Roman" w:hAnsi="Times New Roman"/>
          <w:sz w:val="24"/>
          <w:szCs w:val="24"/>
        </w:rPr>
        <w:t>ed</w:t>
      </w:r>
      <w:r w:rsidRPr="0097669C">
        <w:rPr>
          <w:rFonts w:ascii="Times New Roman" w:hAnsi="Times New Roman"/>
          <w:sz w:val="24"/>
          <w:szCs w:val="24"/>
        </w:rPr>
        <w:t xml:space="preserve"> peer-to-peer reporting requirements in state facilities to address over reporting of these events</w:t>
      </w:r>
      <w:r w:rsidR="00F40967">
        <w:rPr>
          <w:rFonts w:ascii="Times New Roman" w:hAnsi="Times New Roman"/>
          <w:sz w:val="24"/>
          <w:szCs w:val="24"/>
        </w:rPr>
        <w:t xml:space="preserve">, and </w:t>
      </w:r>
      <w:r w:rsidRPr="0097669C">
        <w:rPr>
          <w:rFonts w:ascii="Times New Roman" w:hAnsi="Times New Roman"/>
          <w:sz w:val="24"/>
          <w:szCs w:val="24"/>
        </w:rPr>
        <w:t>updated guidanc</w:t>
      </w:r>
      <w:r w:rsidR="00F40967">
        <w:rPr>
          <w:rFonts w:ascii="Times New Roman" w:hAnsi="Times New Roman"/>
          <w:sz w:val="24"/>
          <w:szCs w:val="24"/>
        </w:rPr>
        <w:t xml:space="preserve">e to determine </w:t>
      </w:r>
      <w:r w:rsidRPr="0097669C">
        <w:rPr>
          <w:rFonts w:ascii="Times New Roman" w:hAnsi="Times New Roman"/>
          <w:sz w:val="24"/>
          <w:szCs w:val="24"/>
        </w:rPr>
        <w:t>when these incidents should be reported and investigated as allegations of neglect. Expectations were also established regarding the initial review and documentation of these incidents</w:t>
      </w:r>
      <w:r w:rsidRPr="00F40967">
        <w:rPr>
          <w:rFonts w:ascii="Times New Roman" w:hAnsi="Times New Roman"/>
          <w:sz w:val="24"/>
          <w:szCs w:val="24"/>
        </w:rPr>
        <w:t>, in accordance with DI 401.</w:t>
      </w:r>
    </w:p>
    <w:p w14:paraId="36E8CBCC" w14:textId="77777777" w:rsidR="00341FA0" w:rsidRPr="00F40967" w:rsidRDefault="00341FA0" w:rsidP="009054AA">
      <w:pPr>
        <w:pStyle w:val="ListParagraph"/>
        <w:numPr>
          <w:ilvl w:val="0"/>
          <w:numId w:val="44"/>
        </w:numPr>
        <w:spacing w:after="0" w:line="240" w:lineRule="auto"/>
        <w:ind w:left="540"/>
        <w:rPr>
          <w:rFonts w:ascii="Times New Roman" w:hAnsi="Times New Roman"/>
          <w:sz w:val="24"/>
          <w:szCs w:val="24"/>
        </w:rPr>
      </w:pPr>
      <w:r w:rsidRPr="00F40967">
        <w:rPr>
          <w:rFonts w:ascii="Times New Roman" w:hAnsi="Times New Roman"/>
          <w:sz w:val="24"/>
          <w:szCs w:val="24"/>
        </w:rPr>
        <w:t xml:space="preserve">Provided over 40 distinct consultation and training sessions attended by 91 licensed-provider and facility staff. </w:t>
      </w:r>
    </w:p>
    <w:p w14:paraId="3D4B9F28" w14:textId="77777777" w:rsidR="00F40967" w:rsidRPr="00F40967" w:rsidRDefault="00341FA0" w:rsidP="009054AA">
      <w:pPr>
        <w:pStyle w:val="ListParagraph"/>
        <w:numPr>
          <w:ilvl w:val="0"/>
          <w:numId w:val="44"/>
        </w:numPr>
        <w:spacing w:after="0" w:line="240" w:lineRule="auto"/>
        <w:ind w:left="540"/>
        <w:rPr>
          <w:rFonts w:ascii="Times New Roman" w:hAnsi="Times New Roman"/>
          <w:sz w:val="24"/>
          <w:szCs w:val="24"/>
        </w:rPr>
      </w:pPr>
      <w:r w:rsidRPr="00F40967">
        <w:rPr>
          <w:rFonts w:ascii="Times New Roman" w:hAnsi="Times New Roman"/>
          <w:sz w:val="24"/>
          <w:szCs w:val="24"/>
        </w:rPr>
        <w:t xml:space="preserve">Facilitated 21 statewide training seminars to approximately 1,865 </w:t>
      </w:r>
      <w:proofErr w:type="gramStart"/>
      <w:r w:rsidRPr="00F40967">
        <w:rPr>
          <w:rFonts w:ascii="Times New Roman" w:hAnsi="Times New Roman"/>
          <w:sz w:val="24"/>
          <w:szCs w:val="24"/>
        </w:rPr>
        <w:t>licensed-provider</w:t>
      </w:r>
      <w:proofErr w:type="gramEnd"/>
      <w:r w:rsidRPr="00F40967">
        <w:rPr>
          <w:rFonts w:ascii="Times New Roman" w:hAnsi="Times New Roman"/>
          <w:sz w:val="24"/>
          <w:szCs w:val="24"/>
        </w:rPr>
        <w:t xml:space="preserve"> &amp; facility staff participant, and administered roughly 1,337 continuing education units/credits.</w:t>
      </w:r>
    </w:p>
    <w:p w14:paraId="7AD449E5" w14:textId="61E585D1" w:rsidR="00F40967" w:rsidRPr="00F40967" w:rsidRDefault="00F40967" w:rsidP="009054AA">
      <w:pPr>
        <w:pStyle w:val="ListParagraph"/>
        <w:numPr>
          <w:ilvl w:val="0"/>
          <w:numId w:val="44"/>
        </w:numPr>
        <w:spacing w:after="0" w:line="240" w:lineRule="auto"/>
        <w:ind w:left="540"/>
        <w:rPr>
          <w:rFonts w:ascii="Times New Roman" w:hAnsi="Times New Roman"/>
          <w:sz w:val="24"/>
          <w:szCs w:val="24"/>
        </w:rPr>
      </w:pPr>
      <w:r w:rsidRPr="00F40967">
        <w:rPr>
          <w:rFonts w:ascii="Times New Roman" w:eastAsiaTheme="majorEastAsia" w:hAnsi="Times New Roman"/>
          <w:sz w:val="24"/>
          <w:szCs w:val="24"/>
        </w:rPr>
        <w:t xml:space="preserve">A critical function of the OHR is due process via the Local and State Human Rights Committees. It is notable that of the 12, 505 total complaints (including those alleging abuse, </w:t>
      </w:r>
      <w:proofErr w:type="gramStart"/>
      <w:r w:rsidRPr="00F40967">
        <w:rPr>
          <w:rFonts w:ascii="Times New Roman" w:eastAsiaTheme="majorEastAsia" w:hAnsi="Times New Roman"/>
          <w:sz w:val="24"/>
          <w:szCs w:val="24"/>
        </w:rPr>
        <w:t>neglect</w:t>
      </w:r>
      <w:proofErr w:type="gramEnd"/>
      <w:r w:rsidRPr="00F40967">
        <w:rPr>
          <w:rFonts w:ascii="Times New Roman" w:eastAsiaTheme="majorEastAsia" w:hAnsi="Times New Roman"/>
          <w:sz w:val="24"/>
          <w:szCs w:val="24"/>
        </w:rPr>
        <w:t xml:space="preserve"> and exploitation) the State Committee heard a total of 22 complaints on appeal. This is less than 1% and an indicator of resolution to individual complaints at the lowest/earliest level of the process. </w:t>
      </w:r>
    </w:p>
    <w:p w14:paraId="215C5797" w14:textId="575F7468" w:rsidR="00341FA0" w:rsidRPr="00F40967" w:rsidRDefault="00F40967" w:rsidP="009054AA">
      <w:pPr>
        <w:pStyle w:val="ListParagraph"/>
        <w:numPr>
          <w:ilvl w:val="0"/>
          <w:numId w:val="44"/>
        </w:numPr>
        <w:spacing w:after="0" w:line="240" w:lineRule="auto"/>
        <w:ind w:left="540"/>
        <w:rPr>
          <w:rFonts w:ascii="Times New Roman" w:hAnsi="Times New Roman"/>
          <w:sz w:val="24"/>
          <w:szCs w:val="24"/>
        </w:rPr>
      </w:pPr>
      <w:r w:rsidRPr="00F40967">
        <w:rPr>
          <w:rFonts w:ascii="Times New Roman" w:hAnsi="Times New Roman"/>
          <w:sz w:val="24"/>
          <w:szCs w:val="24"/>
        </w:rPr>
        <w:t xml:space="preserve">Community Human Rights Complaints – </w:t>
      </w:r>
      <w:r w:rsidR="00341FA0" w:rsidRPr="00F40967">
        <w:rPr>
          <w:rFonts w:ascii="Times New Roman" w:hAnsi="Times New Roman"/>
          <w:sz w:val="24"/>
          <w:szCs w:val="24"/>
        </w:rPr>
        <w:t xml:space="preserve">In FY 2022, there were 941 human rights complaints involving licensed community programs, including CSBs with 11 percent of the total (108), resulting in a violation. Of the 10,237 total allegations of abuse, neglect, or exploitation reported, 10 percent (1,049) were substantiated following the provider investigation and staff review. There was an overall increase in allegations and identified violations (2 percent) for FY 2022. While </w:t>
      </w:r>
      <w:r>
        <w:rPr>
          <w:rFonts w:ascii="Times New Roman" w:hAnsi="Times New Roman"/>
          <w:sz w:val="24"/>
          <w:szCs w:val="24"/>
        </w:rPr>
        <w:t>n</w:t>
      </w:r>
      <w:r w:rsidR="00341FA0" w:rsidRPr="00F40967">
        <w:rPr>
          <w:rFonts w:ascii="Times New Roman" w:hAnsi="Times New Roman"/>
          <w:sz w:val="24"/>
          <w:szCs w:val="24"/>
        </w:rPr>
        <w:t>eglect is routinely the largest category of alleged and substantiated violations, it is notable that the number of substantiated allegations resulting from peer-on-peer aggression increased from 75 to 125, and there are double digit increases for both alleged and substantiated reports of verbal abuse and unauthorized restraint. These increases may be the natural upswing of more intentioned reporting now that providers are slowly beginning to recover from staffing shortages, following a slight dip in reporting during the COVID-19 emergency health crisis.</w:t>
      </w:r>
      <w:r>
        <w:rPr>
          <w:rFonts w:ascii="Times New Roman" w:hAnsi="Times New Roman"/>
          <w:sz w:val="24"/>
          <w:szCs w:val="24"/>
        </w:rPr>
        <w:t xml:space="preserve"> More details are found below:</w:t>
      </w:r>
    </w:p>
    <w:p w14:paraId="7B425B6E" w14:textId="662CCA06" w:rsidR="00092595" w:rsidRPr="00627065" w:rsidRDefault="00092595" w:rsidP="00F46923">
      <w:pPr>
        <w:keepNext/>
        <w:keepLines/>
        <w:spacing w:before="280" w:after="80"/>
        <w:outlineLvl w:val="1"/>
        <w:rPr>
          <w:rFonts w:eastAsiaTheme="majorEastAsia"/>
          <w:bCs/>
          <w:i/>
          <w:color w:val="FF0000"/>
        </w:rPr>
      </w:pPr>
      <w:r w:rsidRPr="00627065">
        <w:rPr>
          <w:rFonts w:eastAsiaTheme="majorEastAsia"/>
          <w:bCs/>
          <w:i/>
        </w:rPr>
        <w:lastRenderedPageBreak/>
        <w:t>Abuse/Neglect and Human Rights Complaint Statistics (July 1, 2021 – June 30, 2022)</w:t>
      </w:r>
    </w:p>
    <w:tbl>
      <w:tblPr>
        <w:tblW w:w="931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9"/>
        <w:gridCol w:w="969"/>
        <w:gridCol w:w="2812"/>
        <w:gridCol w:w="861"/>
        <w:gridCol w:w="1085"/>
      </w:tblGrid>
      <w:tr w:rsidR="00092595" w:rsidRPr="00627065" w14:paraId="1859D1AF" w14:textId="77777777" w:rsidTr="007C2DB5">
        <w:trPr>
          <w:trHeight w:val="162"/>
          <w:jc w:val="center"/>
        </w:trPr>
        <w:tc>
          <w:tcPr>
            <w:tcW w:w="9316" w:type="dxa"/>
            <w:gridSpan w:val="5"/>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7ECCF82D" w14:textId="77777777" w:rsidR="00092595" w:rsidRPr="00627065" w:rsidRDefault="00092595" w:rsidP="00F46923">
            <w:pPr>
              <w:keepNext/>
              <w:keepLines/>
              <w:jc w:val="center"/>
              <w:textAlignment w:val="baseline"/>
              <w:rPr>
                <w:sz w:val="20"/>
                <w:szCs w:val="20"/>
              </w:rPr>
            </w:pPr>
            <w:r w:rsidRPr="00627065">
              <w:rPr>
                <w:b/>
                <w:bCs/>
                <w:sz w:val="20"/>
                <w:szCs w:val="20"/>
              </w:rPr>
              <w:t>FY 2022 Human Rights Data Reported by Community Providers</w:t>
            </w:r>
            <w:r w:rsidRPr="00627065">
              <w:rPr>
                <w:sz w:val="20"/>
                <w:szCs w:val="20"/>
              </w:rPr>
              <w:t> </w:t>
            </w:r>
          </w:p>
        </w:tc>
      </w:tr>
      <w:tr w:rsidR="00092595" w:rsidRPr="00627065" w14:paraId="77F00AF4" w14:textId="77777777" w:rsidTr="00341FA0">
        <w:trPr>
          <w:trHeight w:val="156"/>
          <w:jc w:val="center"/>
        </w:trPr>
        <w:tc>
          <w:tcPr>
            <w:tcW w:w="8231" w:type="dxa"/>
            <w:gridSpan w:val="4"/>
            <w:tcBorders>
              <w:top w:val="nil"/>
              <w:left w:val="single" w:sz="6" w:space="0" w:color="7F7F7F"/>
              <w:bottom w:val="single" w:sz="6" w:space="0" w:color="7F7F7F"/>
              <w:right w:val="single" w:sz="6" w:space="0" w:color="7F7F7F"/>
            </w:tcBorders>
            <w:shd w:val="clear" w:color="auto" w:fill="auto"/>
            <w:vAlign w:val="center"/>
            <w:hideMark/>
          </w:tcPr>
          <w:p w14:paraId="48CDD973" w14:textId="77777777" w:rsidR="00092595" w:rsidRPr="00627065" w:rsidRDefault="00092595" w:rsidP="00F46923">
            <w:pPr>
              <w:keepNext/>
              <w:keepLines/>
              <w:textAlignment w:val="baseline"/>
              <w:rPr>
                <w:sz w:val="20"/>
                <w:szCs w:val="20"/>
              </w:rPr>
            </w:pPr>
            <w:r w:rsidRPr="00627065">
              <w:rPr>
                <w:sz w:val="20"/>
                <w:szCs w:val="20"/>
              </w:rPr>
              <w:t>Total Number of Human Rights Complaints  </w:t>
            </w:r>
          </w:p>
        </w:tc>
        <w:tc>
          <w:tcPr>
            <w:tcW w:w="1085" w:type="dxa"/>
            <w:tcBorders>
              <w:top w:val="nil"/>
              <w:left w:val="nil"/>
              <w:bottom w:val="single" w:sz="6" w:space="0" w:color="7F7F7F"/>
              <w:right w:val="single" w:sz="6" w:space="0" w:color="7F7F7F"/>
            </w:tcBorders>
            <w:shd w:val="clear" w:color="auto" w:fill="auto"/>
            <w:vAlign w:val="center"/>
            <w:hideMark/>
          </w:tcPr>
          <w:p w14:paraId="1C1BF76E" w14:textId="77777777" w:rsidR="00092595" w:rsidRPr="00627065" w:rsidRDefault="00092595" w:rsidP="00F46923">
            <w:pPr>
              <w:keepNext/>
              <w:keepLines/>
              <w:jc w:val="center"/>
              <w:textAlignment w:val="baseline"/>
              <w:rPr>
                <w:sz w:val="20"/>
                <w:szCs w:val="20"/>
              </w:rPr>
            </w:pPr>
            <w:r w:rsidRPr="00627065">
              <w:rPr>
                <w:sz w:val="20"/>
                <w:szCs w:val="20"/>
              </w:rPr>
              <w:t>941</w:t>
            </w:r>
          </w:p>
        </w:tc>
      </w:tr>
      <w:tr w:rsidR="00092595" w:rsidRPr="00627065" w14:paraId="2EB447CA" w14:textId="77777777" w:rsidTr="00341FA0">
        <w:trPr>
          <w:trHeight w:val="162"/>
          <w:jc w:val="center"/>
        </w:trPr>
        <w:tc>
          <w:tcPr>
            <w:tcW w:w="8231" w:type="dxa"/>
            <w:gridSpan w:val="4"/>
            <w:tcBorders>
              <w:top w:val="nil"/>
              <w:left w:val="single" w:sz="6" w:space="0" w:color="7F7F7F"/>
              <w:bottom w:val="single" w:sz="6" w:space="0" w:color="7F7F7F"/>
              <w:right w:val="single" w:sz="6" w:space="0" w:color="7F7F7F"/>
            </w:tcBorders>
            <w:shd w:val="clear" w:color="auto" w:fill="auto"/>
            <w:vAlign w:val="center"/>
            <w:hideMark/>
          </w:tcPr>
          <w:p w14:paraId="4EE1243B" w14:textId="77777777" w:rsidR="00092595" w:rsidRPr="00627065" w:rsidRDefault="00092595" w:rsidP="00F46923">
            <w:pPr>
              <w:keepNext/>
              <w:keepLines/>
              <w:textAlignment w:val="baseline"/>
              <w:rPr>
                <w:sz w:val="20"/>
                <w:szCs w:val="20"/>
              </w:rPr>
            </w:pPr>
            <w:r w:rsidRPr="00627065">
              <w:rPr>
                <w:sz w:val="20"/>
                <w:szCs w:val="20"/>
              </w:rPr>
              <w:t>Total Number of Complaints That Resulted in a Violation of Human Rights </w:t>
            </w:r>
          </w:p>
        </w:tc>
        <w:tc>
          <w:tcPr>
            <w:tcW w:w="1085" w:type="dxa"/>
            <w:tcBorders>
              <w:top w:val="nil"/>
              <w:left w:val="nil"/>
              <w:bottom w:val="single" w:sz="6" w:space="0" w:color="7F7F7F"/>
              <w:right w:val="single" w:sz="6" w:space="0" w:color="7F7F7F"/>
            </w:tcBorders>
            <w:shd w:val="clear" w:color="auto" w:fill="auto"/>
            <w:vAlign w:val="center"/>
            <w:hideMark/>
          </w:tcPr>
          <w:p w14:paraId="2E37D35C" w14:textId="77777777" w:rsidR="00092595" w:rsidRPr="00627065" w:rsidRDefault="00092595" w:rsidP="00F46923">
            <w:pPr>
              <w:keepNext/>
              <w:keepLines/>
              <w:jc w:val="center"/>
              <w:textAlignment w:val="baseline"/>
              <w:rPr>
                <w:sz w:val="20"/>
                <w:szCs w:val="20"/>
              </w:rPr>
            </w:pPr>
            <w:r w:rsidRPr="00627065">
              <w:rPr>
                <w:sz w:val="20"/>
                <w:szCs w:val="20"/>
              </w:rPr>
              <w:t> 108</w:t>
            </w:r>
          </w:p>
        </w:tc>
      </w:tr>
      <w:tr w:rsidR="00092595" w:rsidRPr="00627065" w14:paraId="0619B039" w14:textId="77777777" w:rsidTr="00341FA0">
        <w:trPr>
          <w:trHeight w:val="162"/>
          <w:jc w:val="center"/>
        </w:trPr>
        <w:tc>
          <w:tcPr>
            <w:tcW w:w="8231" w:type="dxa"/>
            <w:gridSpan w:val="4"/>
            <w:tcBorders>
              <w:top w:val="nil"/>
              <w:left w:val="single" w:sz="6" w:space="0" w:color="7F7F7F"/>
              <w:bottom w:val="single" w:sz="6" w:space="0" w:color="7F7F7F"/>
              <w:right w:val="single" w:sz="6" w:space="0" w:color="7F7F7F"/>
            </w:tcBorders>
            <w:shd w:val="clear" w:color="auto" w:fill="auto"/>
            <w:vAlign w:val="center"/>
            <w:hideMark/>
          </w:tcPr>
          <w:p w14:paraId="5532E247" w14:textId="77777777" w:rsidR="00092595" w:rsidRPr="00627065" w:rsidRDefault="00092595" w:rsidP="00F46923">
            <w:pPr>
              <w:keepNext/>
              <w:keepLines/>
              <w:textAlignment w:val="baseline"/>
              <w:rPr>
                <w:sz w:val="20"/>
                <w:szCs w:val="20"/>
              </w:rPr>
            </w:pPr>
            <w:r w:rsidRPr="00627065">
              <w:rPr>
                <w:sz w:val="20"/>
                <w:szCs w:val="20"/>
              </w:rPr>
              <w:t>Total Number of Allegations of Abuse, Neglect, or Exploitation </w:t>
            </w:r>
          </w:p>
        </w:tc>
        <w:tc>
          <w:tcPr>
            <w:tcW w:w="1085" w:type="dxa"/>
            <w:tcBorders>
              <w:top w:val="nil"/>
              <w:left w:val="nil"/>
              <w:bottom w:val="single" w:sz="6" w:space="0" w:color="7F7F7F"/>
              <w:right w:val="single" w:sz="6" w:space="0" w:color="7F7F7F"/>
            </w:tcBorders>
            <w:shd w:val="clear" w:color="auto" w:fill="auto"/>
            <w:vAlign w:val="center"/>
            <w:hideMark/>
          </w:tcPr>
          <w:p w14:paraId="1C1FAC17" w14:textId="77777777" w:rsidR="00092595" w:rsidRPr="00627065" w:rsidRDefault="00092595" w:rsidP="00F46923">
            <w:pPr>
              <w:keepNext/>
              <w:keepLines/>
              <w:jc w:val="center"/>
              <w:textAlignment w:val="baseline"/>
              <w:rPr>
                <w:sz w:val="20"/>
                <w:szCs w:val="20"/>
              </w:rPr>
            </w:pPr>
            <w:r w:rsidRPr="00627065">
              <w:rPr>
                <w:sz w:val="20"/>
                <w:szCs w:val="20"/>
              </w:rPr>
              <w:t>10,237 </w:t>
            </w:r>
          </w:p>
        </w:tc>
      </w:tr>
      <w:tr w:rsidR="00092595" w:rsidRPr="00627065" w14:paraId="52E6F3B1" w14:textId="77777777" w:rsidTr="00341FA0">
        <w:trPr>
          <w:trHeight w:val="156"/>
          <w:jc w:val="center"/>
        </w:trPr>
        <w:tc>
          <w:tcPr>
            <w:tcW w:w="8231" w:type="dxa"/>
            <w:gridSpan w:val="4"/>
            <w:tcBorders>
              <w:top w:val="nil"/>
              <w:left w:val="single" w:sz="6" w:space="0" w:color="7F7F7F"/>
              <w:bottom w:val="single" w:sz="6" w:space="0" w:color="7F7F7F"/>
              <w:right w:val="single" w:sz="6" w:space="0" w:color="7F7F7F"/>
            </w:tcBorders>
            <w:shd w:val="clear" w:color="auto" w:fill="auto"/>
            <w:vAlign w:val="center"/>
            <w:hideMark/>
          </w:tcPr>
          <w:p w14:paraId="228A2139" w14:textId="77777777" w:rsidR="00092595" w:rsidRPr="00627065" w:rsidRDefault="00092595" w:rsidP="00F46923">
            <w:pPr>
              <w:keepNext/>
              <w:keepLines/>
              <w:textAlignment w:val="baseline"/>
              <w:rPr>
                <w:sz w:val="20"/>
                <w:szCs w:val="20"/>
              </w:rPr>
            </w:pPr>
            <w:r w:rsidRPr="00627065">
              <w:rPr>
                <w:sz w:val="20"/>
                <w:szCs w:val="20"/>
              </w:rPr>
              <w:t>Total Number of Substantiated Allegations of Abuse, Neglect, or Exploitation </w:t>
            </w:r>
          </w:p>
        </w:tc>
        <w:tc>
          <w:tcPr>
            <w:tcW w:w="1085" w:type="dxa"/>
            <w:tcBorders>
              <w:top w:val="nil"/>
              <w:left w:val="nil"/>
              <w:bottom w:val="single" w:sz="6" w:space="0" w:color="7F7F7F"/>
              <w:right w:val="single" w:sz="6" w:space="0" w:color="7F7F7F"/>
            </w:tcBorders>
            <w:shd w:val="clear" w:color="auto" w:fill="auto"/>
            <w:vAlign w:val="center"/>
            <w:hideMark/>
          </w:tcPr>
          <w:p w14:paraId="2829491F" w14:textId="77777777" w:rsidR="00092595" w:rsidRPr="00627065" w:rsidRDefault="00092595" w:rsidP="00F46923">
            <w:pPr>
              <w:keepNext/>
              <w:keepLines/>
              <w:jc w:val="center"/>
              <w:textAlignment w:val="baseline"/>
              <w:rPr>
                <w:sz w:val="20"/>
                <w:szCs w:val="20"/>
              </w:rPr>
            </w:pPr>
            <w:r w:rsidRPr="00627065">
              <w:rPr>
                <w:sz w:val="20"/>
                <w:szCs w:val="20"/>
              </w:rPr>
              <w:t>1,049</w:t>
            </w:r>
          </w:p>
        </w:tc>
      </w:tr>
      <w:tr w:rsidR="00092595" w:rsidRPr="00627065" w14:paraId="3A2668C7" w14:textId="77777777" w:rsidTr="00341FA0">
        <w:trPr>
          <w:trHeight w:val="162"/>
          <w:jc w:val="center"/>
        </w:trPr>
        <w:tc>
          <w:tcPr>
            <w:tcW w:w="4558" w:type="dxa"/>
            <w:gridSpan w:val="2"/>
            <w:tcBorders>
              <w:top w:val="nil"/>
              <w:left w:val="single" w:sz="6" w:space="0" w:color="7F7F7F"/>
              <w:bottom w:val="single" w:sz="6" w:space="0" w:color="7F7F7F"/>
              <w:right w:val="single" w:sz="6" w:space="0" w:color="7F7F7F"/>
            </w:tcBorders>
            <w:shd w:val="clear" w:color="auto" w:fill="auto"/>
            <w:vAlign w:val="center"/>
            <w:hideMark/>
          </w:tcPr>
          <w:p w14:paraId="011FA772" w14:textId="77777777" w:rsidR="00092595" w:rsidRPr="00627065" w:rsidRDefault="00092595" w:rsidP="00F46923">
            <w:pPr>
              <w:keepNext/>
              <w:keepLines/>
              <w:jc w:val="center"/>
              <w:textAlignment w:val="baseline"/>
              <w:rPr>
                <w:sz w:val="20"/>
                <w:szCs w:val="20"/>
              </w:rPr>
            </w:pPr>
            <w:r w:rsidRPr="00627065">
              <w:rPr>
                <w:sz w:val="20"/>
                <w:szCs w:val="20"/>
              </w:rPr>
              <w:t>Substantiated Allegations by Type </w:t>
            </w:r>
          </w:p>
        </w:tc>
        <w:tc>
          <w:tcPr>
            <w:tcW w:w="2812" w:type="dxa"/>
            <w:tcBorders>
              <w:top w:val="nil"/>
              <w:left w:val="nil"/>
              <w:bottom w:val="single" w:sz="6" w:space="0" w:color="7F7F7F"/>
              <w:right w:val="single" w:sz="6" w:space="0" w:color="7F7F7F"/>
            </w:tcBorders>
            <w:shd w:val="clear" w:color="auto" w:fill="auto"/>
            <w:vAlign w:val="center"/>
            <w:hideMark/>
          </w:tcPr>
          <w:p w14:paraId="3667613C" w14:textId="77777777" w:rsidR="00092595" w:rsidRPr="00627065" w:rsidRDefault="00092595" w:rsidP="00F46923">
            <w:pPr>
              <w:keepNext/>
              <w:keepLines/>
              <w:jc w:val="center"/>
              <w:textAlignment w:val="baseline"/>
              <w:rPr>
                <w:sz w:val="20"/>
                <w:szCs w:val="20"/>
              </w:rPr>
            </w:pPr>
            <w:r w:rsidRPr="00627065">
              <w:rPr>
                <w:sz w:val="20"/>
                <w:szCs w:val="20"/>
              </w:rPr>
              <w:t>Exploitation </w:t>
            </w:r>
          </w:p>
        </w:tc>
        <w:tc>
          <w:tcPr>
            <w:tcW w:w="861" w:type="dxa"/>
            <w:tcBorders>
              <w:top w:val="nil"/>
              <w:left w:val="nil"/>
              <w:bottom w:val="single" w:sz="6" w:space="0" w:color="7F7F7F"/>
              <w:right w:val="single" w:sz="6" w:space="0" w:color="7F7F7F"/>
            </w:tcBorders>
            <w:shd w:val="clear" w:color="auto" w:fill="auto"/>
            <w:vAlign w:val="center"/>
            <w:hideMark/>
          </w:tcPr>
          <w:p w14:paraId="370A03B4" w14:textId="77777777" w:rsidR="00092595" w:rsidRPr="00627065" w:rsidRDefault="00092595" w:rsidP="00F46923">
            <w:pPr>
              <w:keepNext/>
              <w:keepLines/>
              <w:jc w:val="center"/>
              <w:textAlignment w:val="baseline"/>
              <w:rPr>
                <w:sz w:val="20"/>
                <w:szCs w:val="20"/>
              </w:rPr>
            </w:pPr>
            <w:r w:rsidRPr="00627065">
              <w:rPr>
                <w:sz w:val="20"/>
                <w:szCs w:val="20"/>
              </w:rPr>
              <w:t>21</w:t>
            </w:r>
          </w:p>
        </w:tc>
        <w:tc>
          <w:tcPr>
            <w:tcW w:w="1085" w:type="dxa"/>
            <w:vMerge w:val="restart"/>
            <w:tcBorders>
              <w:top w:val="nil"/>
              <w:left w:val="nil"/>
              <w:bottom w:val="single" w:sz="6" w:space="0" w:color="7F7F7F"/>
              <w:right w:val="single" w:sz="6" w:space="0" w:color="7F7F7F"/>
            </w:tcBorders>
            <w:shd w:val="clear" w:color="auto" w:fill="BFBFBF"/>
            <w:vAlign w:val="center"/>
            <w:hideMark/>
          </w:tcPr>
          <w:p w14:paraId="163CEB95" w14:textId="77777777" w:rsidR="00092595" w:rsidRPr="00627065" w:rsidRDefault="00092595" w:rsidP="00F46923">
            <w:pPr>
              <w:keepNext/>
              <w:keepLines/>
              <w:jc w:val="center"/>
              <w:textAlignment w:val="baseline"/>
              <w:rPr>
                <w:sz w:val="20"/>
                <w:szCs w:val="20"/>
              </w:rPr>
            </w:pPr>
            <w:r w:rsidRPr="00627065">
              <w:rPr>
                <w:b/>
                <w:bCs/>
                <w:sz w:val="20"/>
                <w:szCs w:val="20"/>
              </w:rPr>
              <w:t> </w:t>
            </w:r>
            <w:r w:rsidRPr="00627065">
              <w:rPr>
                <w:sz w:val="20"/>
                <w:szCs w:val="20"/>
              </w:rPr>
              <w:t> </w:t>
            </w:r>
          </w:p>
        </w:tc>
      </w:tr>
      <w:tr w:rsidR="00092595" w:rsidRPr="00627065" w14:paraId="576A6257" w14:textId="77777777" w:rsidTr="00341FA0">
        <w:trPr>
          <w:trHeight w:val="156"/>
          <w:jc w:val="center"/>
        </w:trPr>
        <w:tc>
          <w:tcPr>
            <w:tcW w:w="3589" w:type="dxa"/>
            <w:tcBorders>
              <w:top w:val="nil"/>
              <w:left w:val="single" w:sz="6" w:space="0" w:color="7F7F7F"/>
              <w:bottom w:val="single" w:sz="6" w:space="0" w:color="7F7F7F"/>
              <w:right w:val="single" w:sz="6" w:space="0" w:color="7F7F7F"/>
            </w:tcBorders>
            <w:shd w:val="clear" w:color="auto" w:fill="auto"/>
            <w:vAlign w:val="center"/>
            <w:hideMark/>
          </w:tcPr>
          <w:p w14:paraId="6E8E763A" w14:textId="77777777" w:rsidR="00092595" w:rsidRPr="00627065" w:rsidRDefault="00092595" w:rsidP="00F46923">
            <w:pPr>
              <w:keepNext/>
              <w:keepLines/>
              <w:jc w:val="center"/>
              <w:textAlignment w:val="baseline"/>
              <w:rPr>
                <w:sz w:val="20"/>
                <w:szCs w:val="20"/>
              </w:rPr>
            </w:pPr>
            <w:r w:rsidRPr="00627065">
              <w:rPr>
                <w:sz w:val="20"/>
                <w:szCs w:val="20"/>
              </w:rPr>
              <w:t>Physical Abuse </w:t>
            </w:r>
          </w:p>
        </w:tc>
        <w:tc>
          <w:tcPr>
            <w:tcW w:w="969" w:type="dxa"/>
            <w:tcBorders>
              <w:top w:val="nil"/>
              <w:left w:val="nil"/>
              <w:bottom w:val="single" w:sz="6" w:space="0" w:color="7F7F7F"/>
              <w:right w:val="single" w:sz="6" w:space="0" w:color="7F7F7F"/>
            </w:tcBorders>
            <w:shd w:val="clear" w:color="auto" w:fill="auto"/>
            <w:vAlign w:val="center"/>
            <w:hideMark/>
          </w:tcPr>
          <w:p w14:paraId="6A5A8A66" w14:textId="77777777" w:rsidR="00092595" w:rsidRPr="00627065" w:rsidRDefault="00092595" w:rsidP="00F46923">
            <w:pPr>
              <w:keepNext/>
              <w:keepLines/>
              <w:jc w:val="center"/>
              <w:textAlignment w:val="baseline"/>
              <w:rPr>
                <w:sz w:val="20"/>
                <w:szCs w:val="20"/>
              </w:rPr>
            </w:pPr>
            <w:r w:rsidRPr="00627065">
              <w:rPr>
                <w:sz w:val="20"/>
                <w:szCs w:val="20"/>
              </w:rPr>
              <w:t>100 </w:t>
            </w:r>
          </w:p>
        </w:tc>
        <w:tc>
          <w:tcPr>
            <w:tcW w:w="2812" w:type="dxa"/>
            <w:tcBorders>
              <w:top w:val="nil"/>
              <w:left w:val="nil"/>
              <w:bottom w:val="single" w:sz="6" w:space="0" w:color="7F7F7F"/>
              <w:right w:val="single" w:sz="6" w:space="0" w:color="7F7F7F"/>
            </w:tcBorders>
            <w:shd w:val="clear" w:color="auto" w:fill="auto"/>
            <w:vAlign w:val="center"/>
            <w:hideMark/>
          </w:tcPr>
          <w:p w14:paraId="2E7C6AA9" w14:textId="77777777" w:rsidR="00092595" w:rsidRPr="00627065" w:rsidRDefault="00092595" w:rsidP="00F46923">
            <w:pPr>
              <w:keepNext/>
              <w:keepLines/>
              <w:jc w:val="center"/>
              <w:textAlignment w:val="baseline"/>
              <w:rPr>
                <w:sz w:val="20"/>
                <w:szCs w:val="20"/>
              </w:rPr>
            </w:pPr>
            <w:r w:rsidRPr="00627065">
              <w:rPr>
                <w:sz w:val="20"/>
                <w:szCs w:val="20"/>
              </w:rPr>
              <w:t>Neglect </w:t>
            </w:r>
          </w:p>
        </w:tc>
        <w:tc>
          <w:tcPr>
            <w:tcW w:w="861" w:type="dxa"/>
            <w:tcBorders>
              <w:top w:val="nil"/>
              <w:left w:val="nil"/>
              <w:bottom w:val="single" w:sz="6" w:space="0" w:color="7F7F7F"/>
              <w:right w:val="single" w:sz="6" w:space="0" w:color="7F7F7F"/>
            </w:tcBorders>
            <w:shd w:val="clear" w:color="auto" w:fill="auto"/>
            <w:vAlign w:val="center"/>
            <w:hideMark/>
          </w:tcPr>
          <w:p w14:paraId="761495AE" w14:textId="77777777" w:rsidR="00092595" w:rsidRPr="00627065" w:rsidRDefault="00092595" w:rsidP="00F46923">
            <w:pPr>
              <w:keepNext/>
              <w:keepLines/>
              <w:jc w:val="center"/>
              <w:textAlignment w:val="baseline"/>
              <w:rPr>
                <w:sz w:val="20"/>
                <w:szCs w:val="20"/>
              </w:rPr>
            </w:pPr>
            <w:r w:rsidRPr="00627065">
              <w:rPr>
                <w:sz w:val="20"/>
                <w:szCs w:val="20"/>
              </w:rPr>
              <w:t>743</w:t>
            </w:r>
          </w:p>
        </w:tc>
        <w:tc>
          <w:tcPr>
            <w:tcW w:w="0" w:type="auto"/>
            <w:vMerge/>
            <w:tcBorders>
              <w:top w:val="nil"/>
              <w:left w:val="nil"/>
              <w:bottom w:val="single" w:sz="6" w:space="0" w:color="7F7F7F"/>
              <w:right w:val="single" w:sz="6" w:space="0" w:color="7F7F7F"/>
            </w:tcBorders>
            <w:shd w:val="clear" w:color="auto" w:fill="auto"/>
            <w:vAlign w:val="center"/>
            <w:hideMark/>
          </w:tcPr>
          <w:p w14:paraId="0EBF2E92" w14:textId="77777777" w:rsidR="00092595" w:rsidRPr="00627065" w:rsidRDefault="00092595" w:rsidP="00F46923">
            <w:pPr>
              <w:keepNext/>
              <w:keepLines/>
              <w:rPr>
                <w:sz w:val="20"/>
                <w:szCs w:val="20"/>
              </w:rPr>
            </w:pPr>
          </w:p>
        </w:tc>
      </w:tr>
      <w:tr w:rsidR="00092595" w:rsidRPr="00627065" w14:paraId="5C1A4041" w14:textId="77777777" w:rsidTr="00341FA0">
        <w:trPr>
          <w:trHeight w:val="155"/>
          <w:jc w:val="center"/>
        </w:trPr>
        <w:tc>
          <w:tcPr>
            <w:tcW w:w="3589" w:type="dxa"/>
            <w:tcBorders>
              <w:top w:val="nil"/>
              <w:left w:val="single" w:sz="6" w:space="0" w:color="7F7F7F"/>
              <w:bottom w:val="single" w:sz="6" w:space="0" w:color="7F7F7F"/>
              <w:right w:val="single" w:sz="6" w:space="0" w:color="7F7F7F"/>
            </w:tcBorders>
            <w:shd w:val="clear" w:color="auto" w:fill="auto"/>
            <w:vAlign w:val="center"/>
            <w:hideMark/>
          </w:tcPr>
          <w:p w14:paraId="274B9280" w14:textId="77777777" w:rsidR="00092595" w:rsidRPr="00627065" w:rsidRDefault="00092595" w:rsidP="00F46923">
            <w:pPr>
              <w:keepNext/>
              <w:keepLines/>
              <w:jc w:val="center"/>
              <w:textAlignment w:val="baseline"/>
              <w:rPr>
                <w:sz w:val="20"/>
                <w:szCs w:val="20"/>
              </w:rPr>
            </w:pPr>
            <w:r w:rsidRPr="00627065">
              <w:rPr>
                <w:sz w:val="20"/>
                <w:szCs w:val="20"/>
              </w:rPr>
              <w:t>Verbal Abuse </w:t>
            </w:r>
          </w:p>
        </w:tc>
        <w:tc>
          <w:tcPr>
            <w:tcW w:w="969" w:type="dxa"/>
            <w:tcBorders>
              <w:top w:val="nil"/>
              <w:left w:val="nil"/>
              <w:bottom w:val="single" w:sz="6" w:space="0" w:color="7F7F7F"/>
              <w:right w:val="single" w:sz="6" w:space="0" w:color="7F7F7F"/>
            </w:tcBorders>
            <w:shd w:val="clear" w:color="auto" w:fill="auto"/>
            <w:vAlign w:val="center"/>
            <w:hideMark/>
          </w:tcPr>
          <w:p w14:paraId="19400BBF" w14:textId="77777777" w:rsidR="00092595" w:rsidRPr="00627065" w:rsidRDefault="00092595" w:rsidP="00F46923">
            <w:pPr>
              <w:keepNext/>
              <w:keepLines/>
              <w:jc w:val="center"/>
              <w:textAlignment w:val="baseline"/>
              <w:rPr>
                <w:sz w:val="20"/>
                <w:szCs w:val="20"/>
              </w:rPr>
            </w:pPr>
            <w:r w:rsidRPr="00627065">
              <w:rPr>
                <w:sz w:val="20"/>
                <w:szCs w:val="20"/>
              </w:rPr>
              <w:t>83 </w:t>
            </w:r>
          </w:p>
        </w:tc>
        <w:tc>
          <w:tcPr>
            <w:tcW w:w="2812" w:type="dxa"/>
            <w:tcBorders>
              <w:top w:val="nil"/>
              <w:left w:val="nil"/>
              <w:bottom w:val="single" w:sz="6" w:space="0" w:color="7F7F7F"/>
              <w:right w:val="single" w:sz="6" w:space="0" w:color="7F7F7F"/>
            </w:tcBorders>
            <w:shd w:val="clear" w:color="auto" w:fill="auto"/>
            <w:vAlign w:val="center"/>
            <w:hideMark/>
          </w:tcPr>
          <w:p w14:paraId="490F70A8" w14:textId="77777777" w:rsidR="00092595" w:rsidRPr="00627065" w:rsidRDefault="00092595" w:rsidP="00F46923">
            <w:pPr>
              <w:keepNext/>
              <w:keepLines/>
              <w:jc w:val="center"/>
              <w:textAlignment w:val="baseline"/>
              <w:rPr>
                <w:sz w:val="20"/>
                <w:szCs w:val="20"/>
              </w:rPr>
            </w:pPr>
            <w:r w:rsidRPr="00627065">
              <w:rPr>
                <w:sz w:val="20"/>
                <w:szCs w:val="20"/>
              </w:rPr>
              <w:t>Neglect (Peer-to-Peer) </w:t>
            </w:r>
          </w:p>
        </w:tc>
        <w:tc>
          <w:tcPr>
            <w:tcW w:w="861" w:type="dxa"/>
            <w:tcBorders>
              <w:top w:val="nil"/>
              <w:left w:val="nil"/>
              <w:bottom w:val="single" w:sz="6" w:space="0" w:color="7F7F7F"/>
              <w:right w:val="single" w:sz="6" w:space="0" w:color="7F7F7F"/>
            </w:tcBorders>
            <w:shd w:val="clear" w:color="auto" w:fill="auto"/>
            <w:vAlign w:val="center"/>
            <w:hideMark/>
          </w:tcPr>
          <w:p w14:paraId="7061C7CD" w14:textId="77777777" w:rsidR="00092595" w:rsidRPr="00627065" w:rsidRDefault="00092595" w:rsidP="00F46923">
            <w:pPr>
              <w:keepNext/>
              <w:keepLines/>
              <w:jc w:val="center"/>
              <w:textAlignment w:val="baseline"/>
              <w:rPr>
                <w:sz w:val="20"/>
                <w:szCs w:val="20"/>
              </w:rPr>
            </w:pPr>
            <w:r w:rsidRPr="00627065">
              <w:rPr>
                <w:sz w:val="20"/>
                <w:szCs w:val="20"/>
              </w:rPr>
              <w:t>125 </w:t>
            </w:r>
          </w:p>
        </w:tc>
        <w:tc>
          <w:tcPr>
            <w:tcW w:w="0" w:type="auto"/>
            <w:vMerge/>
            <w:tcBorders>
              <w:top w:val="nil"/>
              <w:left w:val="nil"/>
              <w:bottom w:val="single" w:sz="6" w:space="0" w:color="7F7F7F"/>
              <w:right w:val="single" w:sz="6" w:space="0" w:color="7F7F7F"/>
            </w:tcBorders>
            <w:shd w:val="clear" w:color="auto" w:fill="auto"/>
            <w:vAlign w:val="center"/>
            <w:hideMark/>
          </w:tcPr>
          <w:p w14:paraId="723AFD74" w14:textId="77777777" w:rsidR="00092595" w:rsidRPr="00627065" w:rsidRDefault="00092595" w:rsidP="00F46923">
            <w:pPr>
              <w:keepNext/>
              <w:keepLines/>
              <w:rPr>
                <w:sz w:val="20"/>
                <w:szCs w:val="20"/>
              </w:rPr>
            </w:pPr>
          </w:p>
        </w:tc>
      </w:tr>
      <w:tr w:rsidR="00092595" w:rsidRPr="00627065" w14:paraId="7359701B" w14:textId="77777777" w:rsidTr="00341FA0">
        <w:trPr>
          <w:trHeight w:val="320"/>
          <w:jc w:val="center"/>
        </w:trPr>
        <w:tc>
          <w:tcPr>
            <w:tcW w:w="3589" w:type="dxa"/>
            <w:tcBorders>
              <w:top w:val="nil"/>
              <w:left w:val="single" w:sz="6" w:space="0" w:color="7F7F7F"/>
              <w:bottom w:val="single" w:sz="6" w:space="0" w:color="7F7F7F"/>
              <w:right w:val="single" w:sz="6" w:space="0" w:color="7F7F7F"/>
            </w:tcBorders>
            <w:shd w:val="clear" w:color="auto" w:fill="auto"/>
            <w:vAlign w:val="center"/>
            <w:hideMark/>
          </w:tcPr>
          <w:p w14:paraId="761FD3DA" w14:textId="77777777" w:rsidR="00092595" w:rsidRPr="00627065" w:rsidRDefault="00092595" w:rsidP="00F46923">
            <w:pPr>
              <w:keepNext/>
              <w:keepLines/>
              <w:jc w:val="center"/>
              <w:textAlignment w:val="baseline"/>
              <w:rPr>
                <w:sz w:val="20"/>
                <w:szCs w:val="20"/>
              </w:rPr>
            </w:pPr>
            <w:r w:rsidRPr="00627065">
              <w:rPr>
                <w:sz w:val="20"/>
                <w:szCs w:val="20"/>
              </w:rPr>
              <w:t>Sexual Abuse </w:t>
            </w:r>
          </w:p>
        </w:tc>
        <w:tc>
          <w:tcPr>
            <w:tcW w:w="969" w:type="dxa"/>
            <w:tcBorders>
              <w:top w:val="nil"/>
              <w:left w:val="nil"/>
              <w:bottom w:val="single" w:sz="6" w:space="0" w:color="7F7F7F"/>
              <w:right w:val="single" w:sz="6" w:space="0" w:color="7F7F7F"/>
            </w:tcBorders>
            <w:shd w:val="clear" w:color="auto" w:fill="auto"/>
            <w:vAlign w:val="center"/>
            <w:hideMark/>
          </w:tcPr>
          <w:p w14:paraId="3E0F5505" w14:textId="77777777" w:rsidR="00092595" w:rsidRPr="00627065" w:rsidRDefault="00092595" w:rsidP="00F46923">
            <w:pPr>
              <w:keepNext/>
              <w:keepLines/>
              <w:jc w:val="center"/>
              <w:textAlignment w:val="baseline"/>
              <w:rPr>
                <w:sz w:val="20"/>
                <w:szCs w:val="20"/>
              </w:rPr>
            </w:pPr>
            <w:r w:rsidRPr="00627065">
              <w:rPr>
                <w:sz w:val="20"/>
                <w:szCs w:val="20"/>
              </w:rPr>
              <w:t>11 </w:t>
            </w:r>
          </w:p>
        </w:tc>
        <w:tc>
          <w:tcPr>
            <w:tcW w:w="2812" w:type="dxa"/>
            <w:tcBorders>
              <w:top w:val="nil"/>
              <w:left w:val="nil"/>
              <w:bottom w:val="single" w:sz="6" w:space="0" w:color="7F7F7F"/>
              <w:right w:val="single" w:sz="6" w:space="0" w:color="7F7F7F"/>
            </w:tcBorders>
            <w:shd w:val="clear" w:color="auto" w:fill="auto"/>
            <w:vAlign w:val="center"/>
            <w:hideMark/>
          </w:tcPr>
          <w:p w14:paraId="6D3D8059" w14:textId="77777777" w:rsidR="00092595" w:rsidRPr="00627065" w:rsidRDefault="00092595" w:rsidP="00F46923">
            <w:pPr>
              <w:keepNext/>
              <w:keepLines/>
              <w:jc w:val="center"/>
              <w:textAlignment w:val="baseline"/>
              <w:rPr>
                <w:sz w:val="20"/>
                <w:szCs w:val="20"/>
              </w:rPr>
            </w:pPr>
            <w:r w:rsidRPr="00627065">
              <w:rPr>
                <w:sz w:val="20"/>
                <w:szCs w:val="20"/>
              </w:rPr>
              <w:t>Unauthorized use of Restraint</w:t>
            </w:r>
          </w:p>
        </w:tc>
        <w:tc>
          <w:tcPr>
            <w:tcW w:w="861" w:type="dxa"/>
            <w:tcBorders>
              <w:top w:val="nil"/>
              <w:left w:val="nil"/>
              <w:bottom w:val="single" w:sz="6" w:space="0" w:color="7F7F7F"/>
              <w:right w:val="single" w:sz="6" w:space="0" w:color="7F7F7F"/>
            </w:tcBorders>
            <w:shd w:val="clear" w:color="auto" w:fill="auto"/>
            <w:vAlign w:val="center"/>
            <w:hideMark/>
          </w:tcPr>
          <w:p w14:paraId="6B71C6DF" w14:textId="77777777" w:rsidR="00092595" w:rsidRPr="00627065" w:rsidRDefault="00092595" w:rsidP="00F46923">
            <w:pPr>
              <w:keepNext/>
              <w:keepLines/>
              <w:jc w:val="center"/>
              <w:textAlignment w:val="baseline"/>
              <w:rPr>
                <w:sz w:val="20"/>
                <w:szCs w:val="20"/>
              </w:rPr>
            </w:pPr>
            <w:r w:rsidRPr="00627065">
              <w:rPr>
                <w:sz w:val="20"/>
                <w:szCs w:val="20"/>
              </w:rPr>
              <w:t>52 </w:t>
            </w:r>
          </w:p>
        </w:tc>
        <w:tc>
          <w:tcPr>
            <w:tcW w:w="0" w:type="auto"/>
            <w:vMerge/>
            <w:tcBorders>
              <w:top w:val="nil"/>
              <w:left w:val="nil"/>
              <w:bottom w:val="single" w:sz="6" w:space="0" w:color="7F7F7F"/>
              <w:right w:val="single" w:sz="6" w:space="0" w:color="7F7F7F"/>
            </w:tcBorders>
            <w:shd w:val="clear" w:color="auto" w:fill="auto"/>
            <w:vAlign w:val="center"/>
            <w:hideMark/>
          </w:tcPr>
          <w:p w14:paraId="06E752A0" w14:textId="77777777" w:rsidR="00092595" w:rsidRPr="00627065" w:rsidRDefault="00092595" w:rsidP="00F46923">
            <w:pPr>
              <w:keepNext/>
              <w:keepLines/>
              <w:rPr>
                <w:sz w:val="20"/>
                <w:szCs w:val="20"/>
              </w:rPr>
            </w:pPr>
          </w:p>
        </w:tc>
      </w:tr>
      <w:tr w:rsidR="00092595" w:rsidRPr="00627065" w14:paraId="1EC4C9E0" w14:textId="77777777" w:rsidTr="007C2DB5">
        <w:trPr>
          <w:trHeight w:val="148"/>
          <w:jc w:val="center"/>
        </w:trPr>
        <w:tc>
          <w:tcPr>
            <w:tcW w:w="9316" w:type="dxa"/>
            <w:gridSpan w:val="5"/>
            <w:tcBorders>
              <w:top w:val="nil"/>
              <w:left w:val="single" w:sz="6" w:space="0" w:color="7F7F7F"/>
              <w:bottom w:val="single" w:sz="6" w:space="0" w:color="7F7F7F"/>
              <w:right w:val="single" w:sz="6" w:space="0" w:color="7F7F7F"/>
            </w:tcBorders>
            <w:shd w:val="clear" w:color="auto" w:fill="BFBFBF"/>
            <w:vAlign w:val="center"/>
            <w:hideMark/>
          </w:tcPr>
          <w:p w14:paraId="492EAD8D" w14:textId="77777777" w:rsidR="00092595" w:rsidRPr="00627065" w:rsidRDefault="00092595" w:rsidP="00F46923">
            <w:pPr>
              <w:keepNext/>
              <w:keepLines/>
              <w:jc w:val="center"/>
              <w:textAlignment w:val="baseline"/>
              <w:rPr>
                <w:sz w:val="20"/>
                <w:szCs w:val="20"/>
              </w:rPr>
            </w:pPr>
            <w:r w:rsidRPr="00627065">
              <w:rPr>
                <w:b/>
                <w:bCs/>
                <w:sz w:val="20"/>
                <w:szCs w:val="20"/>
              </w:rPr>
              <w:t> </w:t>
            </w:r>
            <w:r w:rsidRPr="00627065">
              <w:rPr>
                <w:sz w:val="20"/>
                <w:szCs w:val="20"/>
              </w:rPr>
              <w:t> </w:t>
            </w:r>
          </w:p>
        </w:tc>
      </w:tr>
      <w:tr w:rsidR="00092595" w:rsidRPr="00627065" w14:paraId="7E574468" w14:textId="77777777" w:rsidTr="007C2DB5">
        <w:trPr>
          <w:trHeight w:val="320"/>
          <w:jc w:val="center"/>
        </w:trPr>
        <w:tc>
          <w:tcPr>
            <w:tcW w:w="9316" w:type="dxa"/>
            <w:gridSpan w:val="5"/>
            <w:tcBorders>
              <w:top w:val="nil"/>
              <w:left w:val="single" w:sz="6" w:space="0" w:color="7F7F7F"/>
              <w:bottom w:val="single" w:sz="6" w:space="0" w:color="7F7F7F"/>
              <w:right w:val="single" w:sz="6" w:space="0" w:color="7F7F7F"/>
            </w:tcBorders>
            <w:shd w:val="clear" w:color="auto" w:fill="auto"/>
            <w:vAlign w:val="center"/>
            <w:hideMark/>
          </w:tcPr>
          <w:p w14:paraId="7E814D12" w14:textId="77777777" w:rsidR="00092595" w:rsidRPr="00627065" w:rsidRDefault="00092595" w:rsidP="00F46923">
            <w:pPr>
              <w:keepNext/>
              <w:keepLines/>
              <w:jc w:val="center"/>
              <w:textAlignment w:val="baseline"/>
              <w:rPr>
                <w:sz w:val="20"/>
                <w:szCs w:val="20"/>
              </w:rPr>
            </w:pPr>
            <w:r w:rsidRPr="00627065">
              <w:rPr>
                <w:sz w:val="20"/>
                <w:szCs w:val="20"/>
              </w:rPr>
              <w:t>Resolution Levels for the 941 Human Rights Complaints </w:t>
            </w:r>
          </w:p>
          <w:p w14:paraId="41769C4E" w14:textId="77777777" w:rsidR="00092595" w:rsidRPr="00627065" w:rsidRDefault="00092595" w:rsidP="00F46923">
            <w:pPr>
              <w:keepNext/>
              <w:keepLines/>
              <w:jc w:val="center"/>
              <w:textAlignment w:val="baseline"/>
              <w:rPr>
                <w:sz w:val="20"/>
                <w:szCs w:val="20"/>
              </w:rPr>
            </w:pPr>
            <w:r w:rsidRPr="00627065">
              <w:rPr>
                <w:sz w:val="20"/>
                <w:szCs w:val="20"/>
              </w:rPr>
              <w:t>and 10,237 Allegations of Abuse, Neglect, or Exploitation </w:t>
            </w:r>
          </w:p>
        </w:tc>
      </w:tr>
      <w:tr w:rsidR="00092595" w:rsidRPr="00627065" w14:paraId="49A43AC7" w14:textId="77777777" w:rsidTr="00341FA0">
        <w:trPr>
          <w:trHeight w:val="156"/>
          <w:jc w:val="center"/>
        </w:trPr>
        <w:tc>
          <w:tcPr>
            <w:tcW w:w="3589" w:type="dxa"/>
            <w:tcBorders>
              <w:top w:val="nil"/>
              <w:left w:val="single" w:sz="6" w:space="0" w:color="7F7F7F"/>
              <w:bottom w:val="single" w:sz="6" w:space="0" w:color="7F7F7F"/>
              <w:right w:val="single" w:sz="6" w:space="0" w:color="7F7F7F"/>
            </w:tcBorders>
            <w:shd w:val="clear" w:color="auto" w:fill="auto"/>
            <w:vAlign w:val="center"/>
            <w:hideMark/>
          </w:tcPr>
          <w:p w14:paraId="74E85572" w14:textId="77777777" w:rsidR="00092595" w:rsidRPr="00627065" w:rsidRDefault="00092595" w:rsidP="00F46923">
            <w:pPr>
              <w:keepNext/>
              <w:keepLines/>
              <w:jc w:val="center"/>
              <w:textAlignment w:val="baseline"/>
              <w:rPr>
                <w:sz w:val="20"/>
                <w:szCs w:val="20"/>
              </w:rPr>
            </w:pPr>
            <w:r w:rsidRPr="00627065">
              <w:rPr>
                <w:sz w:val="20"/>
                <w:szCs w:val="20"/>
              </w:rPr>
              <w:t xml:space="preserve">Director and </w:t>
            </w:r>
            <w:proofErr w:type="gramStart"/>
            <w:r w:rsidRPr="00627065">
              <w:rPr>
                <w:sz w:val="20"/>
                <w:szCs w:val="20"/>
              </w:rPr>
              <w:t>Below</w:t>
            </w:r>
            <w:proofErr w:type="gramEnd"/>
            <w:r w:rsidRPr="00627065">
              <w:rPr>
                <w:sz w:val="20"/>
                <w:szCs w:val="20"/>
              </w:rPr>
              <w:t>   </w:t>
            </w:r>
          </w:p>
        </w:tc>
        <w:tc>
          <w:tcPr>
            <w:tcW w:w="969" w:type="dxa"/>
            <w:tcBorders>
              <w:top w:val="nil"/>
              <w:left w:val="nil"/>
              <w:bottom w:val="single" w:sz="6" w:space="0" w:color="7F7F7F"/>
              <w:right w:val="single" w:sz="6" w:space="0" w:color="7F7F7F"/>
            </w:tcBorders>
            <w:shd w:val="clear" w:color="auto" w:fill="auto"/>
            <w:vAlign w:val="center"/>
            <w:hideMark/>
          </w:tcPr>
          <w:p w14:paraId="1022E66F" w14:textId="77777777" w:rsidR="00092595" w:rsidRPr="00627065" w:rsidRDefault="00092595" w:rsidP="00F46923">
            <w:pPr>
              <w:keepNext/>
              <w:keepLines/>
              <w:jc w:val="center"/>
              <w:textAlignment w:val="baseline"/>
              <w:rPr>
                <w:sz w:val="20"/>
                <w:szCs w:val="20"/>
              </w:rPr>
            </w:pPr>
            <w:r w:rsidRPr="00627065">
              <w:rPr>
                <w:sz w:val="20"/>
                <w:szCs w:val="20"/>
              </w:rPr>
              <w:t>12,169</w:t>
            </w:r>
          </w:p>
        </w:tc>
        <w:tc>
          <w:tcPr>
            <w:tcW w:w="3673" w:type="dxa"/>
            <w:gridSpan w:val="2"/>
            <w:tcBorders>
              <w:top w:val="nil"/>
              <w:left w:val="nil"/>
              <w:bottom w:val="single" w:sz="6" w:space="0" w:color="7F7F7F"/>
              <w:right w:val="single" w:sz="6" w:space="0" w:color="7F7F7F"/>
            </w:tcBorders>
            <w:shd w:val="clear" w:color="auto" w:fill="auto"/>
            <w:vAlign w:val="center"/>
            <w:hideMark/>
          </w:tcPr>
          <w:p w14:paraId="25EEF915" w14:textId="77777777" w:rsidR="00092595" w:rsidRPr="00627065" w:rsidRDefault="00092595" w:rsidP="00F46923">
            <w:pPr>
              <w:keepNext/>
              <w:keepLines/>
              <w:jc w:val="center"/>
              <w:textAlignment w:val="baseline"/>
              <w:rPr>
                <w:sz w:val="20"/>
                <w:szCs w:val="20"/>
              </w:rPr>
            </w:pPr>
            <w:r w:rsidRPr="00627065">
              <w:rPr>
                <w:sz w:val="20"/>
                <w:szCs w:val="20"/>
              </w:rPr>
              <w:t>State Human Rights Committee   </w:t>
            </w:r>
          </w:p>
        </w:tc>
        <w:tc>
          <w:tcPr>
            <w:tcW w:w="1085" w:type="dxa"/>
            <w:tcBorders>
              <w:top w:val="nil"/>
              <w:left w:val="nil"/>
              <w:bottom w:val="single" w:sz="6" w:space="0" w:color="7F7F7F"/>
              <w:right w:val="single" w:sz="6" w:space="0" w:color="7F7F7F"/>
            </w:tcBorders>
            <w:shd w:val="clear" w:color="auto" w:fill="auto"/>
            <w:vAlign w:val="center"/>
            <w:hideMark/>
          </w:tcPr>
          <w:p w14:paraId="5BD65C6A" w14:textId="77777777" w:rsidR="00092595" w:rsidRPr="00627065" w:rsidRDefault="00092595" w:rsidP="00F46923">
            <w:pPr>
              <w:keepNext/>
              <w:keepLines/>
              <w:jc w:val="center"/>
              <w:textAlignment w:val="baseline"/>
              <w:rPr>
                <w:sz w:val="20"/>
                <w:szCs w:val="20"/>
              </w:rPr>
            </w:pPr>
            <w:r w:rsidRPr="00627065">
              <w:rPr>
                <w:sz w:val="20"/>
                <w:szCs w:val="20"/>
              </w:rPr>
              <w:t>5 </w:t>
            </w:r>
          </w:p>
        </w:tc>
      </w:tr>
      <w:tr w:rsidR="00092595" w:rsidRPr="00627065" w14:paraId="2FB8F663" w14:textId="77777777" w:rsidTr="00341FA0">
        <w:trPr>
          <w:trHeight w:val="162"/>
          <w:jc w:val="center"/>
        </w:trPr>
        <w:tc>
          <w:tcPr>
            <w:tcW w:w="3589" w:type="dxa"/>
            <w:tcBorders>
              <w:top w:val="nil"/>
              <w:left w:val="single" w:sz="6" w:space="0" w:color="7F7F7F"/>
              <w:bottom w:val="single" w:sz="6" w:space="0" w:color="7F7F7F"/>
              <w:right w:val="single" w:sz="6" w:space="0" w:color="7F7F7F"/>
            </w:tcBorders>
            <w:shd w:val="clear" w:color="auto" w:fill="auto"/>
            <w:vAlign w:val="center"/>
            <w:hideMark/>
          </w:tcPr>
          <w:p w14:paraId="3C6FD031" w14:textId="77777777" w:rsidR="00092595" w:rsidRPr="00627065" w:rsidRDefault="00092595" w:rsidP="00F46923">
            <w:pPr>
              <w:keepNext/>
              <w:keepLines/>
              <w:jc w:val="center"/>
              <w:textAlignment w:val="baseline"/>
              <w:rPr>
                <w:sz w:val="20"/>
                <w:szCs w:val="20"/>
              </w:rPr>
            </w:pPr>
            <w:r w:rsidRPr="00627065">
              <w:rPr>
                <w:sz w:val="20"/>
                <w:szCs w:val="20"/>
              </w:rPr>
              <w:t>Local Human Rights Committee  </w:t>
            </w:r>
          </w:p>
        </w:tc>
        <w:tc>
          <w:tcPr>
            <w:tcW w:w="969" w:type="dxa"/>
            <w:tcBorders>
              <w:top w:val="nil"/>
              <w:left w:val="nil"/>
              <w:bottom w:val="single" w:sz="6" w:space="0" w:color="7F7F7F"/>
              <w:right w:val="single" w:sz="6" w:space="0" w:color="7F7F7F"/>
            </w:tcBorders>
            <w:shd w:val="clear" w:color="auto" w:fill="auto"/>
            <w:vAlign w:val="center"/>
            <w:hideMark/>
          </w:tcPr>
          <w:p w14:paraId="2892B0DC" w14:textId="77777777" w:rsidR="00092595" w:rsidRPr="00627065" w:rsidRDefault="00092595" w:rsidP="00F46923">
            <w:pPr>
              <w:keepNext/>
              <w:keepLines/>
              <w:jc w:val="center"/>
              <w:textAlignment w:val="baseline"/>
              <w:rPr>
                <w:sz w:val="20"/>
                <w:szCs w:val="20"/>
              </w:rPr>
            </w:pPr>
            <w:r w:rsidRPr="00627065">
              <w:rPr>
                <w:sz w:val="20"/>
                <w:szCs w:val="20"/>
              </w:rPr>
              <w:t>9</w:t>
            </w:r>
          </w:p>
        </w:tc>
        <w:tc>
          <w:tcPr>
            <w:tcW w:w="3673" w:type="dxa"/>
            <w:gridSpan w:val="2"/>
            <w:tcBorders>
              <w:top w:val="nil"/>
              <w:left w:val="nil"/>
              <w:bottom w:val="single" w:sz="6" w:space="0" w:color="7F7F7F"/>
              <w:right w:val="single" w:sz="6" w:space="0" w:color="7F7F7F"/>
            </w:tcBorders>
            <w:shd w:val="clear" w:color="auto" w:fill="auto"/>
            <w:vAlign w:val="center"/>
            <w:hideMark/>
          </w:tcPr>
          <w:p w14:paraId="1E979F39" w14:textId="77777777" w:rsidR="00092595" w:rsidRPr="00627065" w:rsidRDefault="00092595" w:rsidP="00F46923">
            <w:pPr>
              <w:keepNext/>
              <w:keepLines/>
              <w:jc w:val="center"/>
              <w:textAlignment w:val="baseline"/>
              <w:rPr>
                <w:sz w:val="20"/>
                <w:szCs w:val="20"/>
              </w:rPr>
            </w:pPr>
            <w:r w:rsidRPr="00627065">
              <w:rPr>
                <w:sz w:val="20"/>
                <w:szCs w:val="20"/>
              </w:rPr>
              <w:t>DBHDS Commissioner </w:t>
            </w:r>
          </w:p>
        </w:tc>
        <w:tc>
          <w:tcPr>
            <w:tcW w:w="1085" w:type="dxa"/>
            <w:tcBorders>
              <w:top w:val="nil"/>
              <w:left w:val="nil"/>
              <w:bottom w:val="single" w:sz="6" w:space="0" w:color="7F7F7F"/>
              <w:right w:val="single" w:sz="6" w:space="0" w:color="7F7F7F"/>
            </w:tcBorders>
            <w:shd w:val="clear" w:color="auto" w:fill="auto"/>
            <w:vAlign w:val="center"/>
            <w:hideMark/>
          </w:tcPr>
          <w:p w14:paraId="39C40322" w14:textId="77777777" w:rsidR="00092595" w:rsidRPr="00627065" w:rsidRDefault="00092595" w:rsidP="00F46923">
            <w:pPr>
              <w:keepNext/>
              <w:keepLines/>
              <w:jc w:val="center"/>
              <w:textAlignment w:val="baseline"/>
              <w:rPr>
                <w:sz w:val="20"/>
                <w:szCs w:val="20"/>
              </w:rPr>
            </w:pPr>
            <w:r w:rsidRPr="00627065">
              <w:rPr>
                <w:sz w:val="20"/>
                <w:szCs w:val="20"/>
              </w:rPr>
              <w:t>0 </w:t>
            </w:r>
          </w:p>
        </w:tc>
      </w:tr>
    </w:tbl>
    <w:p w14:paraId="65D0EEEE" w14:textId="4FB37C74" w:rsidR="00092595" w:rsidRDefault="00092595" w:rsidP="00F40967">
      <w:pPr>
        <w:shd w:val="clear" w:color="auto" w:fill="FFFFFF"/>
        <w:textAlignment w:val="baseline"/>
      </w:pPr>
      <w:r w:rsidRPr="00627065">
        <w:t>  </w:t>
      </w:r>
    </w:p>
    <w:p w14:paraId="0D2E90EF" w14:textId="543DCD67" w:rsidR="00F40967" w:rsidRPr="00F40967" w:rsidRDefault="00F40967" w:rsidP="009054AA">
      <w:pPr>
        <w:pStyle w:val="ListParagraph"/>
        <w:numPr>
          <w:ilvl w:val="0"/>
          <w:numId w:val="45"/>
        </w:numPr>
        <w:spacing w:line="240" w:lineRule="auto"/>
        <w:ind w:left="540"/>
        <w:rPr>
          <w:rStyle w:val="normaltextrun"/>
          <w:rFonts w:ascii="Times New Roman" w:hAnsi="Times New Roman"/>
          <w:bCs/>
          <w:sz w:val="24"/>
          <w:szCs w:val="24"/>
        </w:rPr>
      </w:pPr>
      <w:r w:rsidRPr="00F40967">
        <w:rPr>
          <w:rFonts w:ascii="Times New Roman" w:hAnsi="Times New Roman"/>
          <w:sz w:val="24"/>
          <w:szCs w:val="24"/>
        </w:rPr>
        <w:t>State Hospital and Center Human Rights Complaints – In FY</w:t>
      </w:r>
      <w:r>
        <w:rPr>
          <w:rFonts w:ascii="Times New Roman" w:hAnsi="Times New Roman"/>
          <w:sz w:val="24"/>
          <w:szCs w:val="24"/>
        </w:rPr>
        <w:t xml:space="preserve"> 20</w:t>
      </w:r>
      <w:r w:rsidRPr="00F40967">
        <w:rPr>
          <w:rFonts w:ascii="Times New Roman" w:hAnsi="Times New Roman"/>
          <w:sz w:val="24"/>
          <w:szCs w:val="24"/>
        </w:rPr>
        <w:t>22 there were 790 human rights complaints involving state operated hospitals and centers with 11</w:t>
      </w:r>
      <w:r>
        <w:rPr>
          <w:rFonts w:ascii="Times New Roman" w:hAnsi="Times New Roman"/>
          <w:sz w:val="24"/>
          <w:szCs w:val="24"/>
        </w:rPr>
        <w:t xml:space="preserve"> percent</w:t>
      </w:r>
      <w:r w:rsidRPr="00F40967">
        <w:rPr>
          <w:rFonts w:ascii="Times New Roman" w:hAnsi="Times New Roman"/>
          <w:sz w:val="24"/>
          <w:szCs w:val="24"/>
        </w:rPr>
        <w:t xml:space="preserve"> (94), resulting in a violation. There were 537 allegations of abuse, </w:t>
      </w:r>
      <w:proofErr w:type="gramStart"/>
      <w:r w:rsidRPr="00F40967">
        <w:rPr>
          <w:rFonts w:ascii="Times New Roman" w:hAnsi="Times New Roman"/>
          <w:sz w:val="24"/>
          <w:szCs w:val="24"/>
        </w:rPr>
        <w:t>neglect</w:t>
      </w:r>
      <w:proofErr w:type="gramEnd"/>
      <w:r w:rsidRPr="00F40967">
        <w:rPr>
          <w:rFonts w:ascii="Times New Roman" w:hAnsi="Times New Roman"/>
          <w:sz w:val="24"/>
          <w:szCs w:val="24"/>
        </w:rPr>
        <w:t xml:space="preserve"> or exploitation, wherein 16</w:t>
      </w:r>
      <w:r>
        <w:rPr>
          <w:rFonts w:ascii="Times New Roman" w:hAnsi="Times New Roman"/>
          <w:sz w:val="24"/>
          <w:szCs w:val="24"/>
        </w:rPr>
        <w:t xml:space="preserve"> percent</w:t>
      </w:r>
      <w:r w:rsidRPr="00F40967">
        <w:rPr>
          <w:rFonts w:ascii="Times New Roman" w:hAnsi="Times New Roman"/>
          <w:sz w:val="24"/>
          <w:szCs w:val="24"/>
        </w:rPr>
        <w:t xml:space="preserve"> (85) determined a violation based on the facility investigation and OHR review.  </w:t>
      </w:r>
      <w:r w:rsidRPr="00F40967">
        <w:rPr>
          <w:rStyle w:val="normaltextrun"/>
          <w:rFonts w:ascii="Times New Roman" w:hAnsi="Times New Roman"/>
          <w:bCs/>
          <w:sz w:val="24"/>
          <w:szCs w:val="24"/>
        </w:rPr>
        <w:t xml:space="preserve">When compared to FY21, there was a marked decrease in the number of reported allegations, specifically neglect peer-on-peer (P2P), which can be attributed to the revised guidance concerning reporting and investigating peer aggression. In FY 2021, there were a total of 2,681 allegations reported, of </w:t>
      </w:r>
      <w:proofErr w:type="gramStart"/>
      <w:r w:rsidRPr="00F40967">
        <w:rPr>
          <w:rStyle w:val="normaltextrun"/>
          <w:rFonts w:ascii="Times New Roman" w:hAnsi="Times New Roman"/>
          <w:bCs/>
          <w:sz w:val="24"/>
          <w:szCs w:val="24"/>
        </w:rPr>
        <w:t>these 2,219 alleged neglect</w:t>
      </w:r>
      <w:proofErr w:type="gramEnd"/>
      <w:r w:rsidRPr="00F40967">
        <w:rPr>
          <w:rStyle w:val="normaltextrun"/>
          <w:rFonts w:ascii="Times New Roman" w:hAnsi="Times New Roman"/>
          <w:bCs/>
          <w:sz w:val="24"/>
          <w:szCs w:val="24"/>
        </w:rPr>
        <w:t xml:space="preserve"> P2P. In FY 2022, however, there were 115 reports of neglect P2P which after investigation and review by OHR, resulted in two violations (compared to zero in FY 202). More details are found below:</w:t>
      </w:r>
    </w:p>
    <w:tbl>
      <w:tblPr>
        <w:tblW w:w="9360"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2"/>
        <w:gridCol w:w="889"/>
        <w:gridCol w:w="2577"/>
        <w:gridCol w:w="801"/>
        <w:gridCol w:w="1271"/>
      </w:tblGrid>
      <w:tr w:rsidR="00092595" w:rsidRPr="00627065" w14:paraId="2273D9DA" w14:textId="77777777" w:rsidTr="00341FA0">
        <w:trPr>
          <w:trHeight w:val="206"/>
        </w:trPr>
        <w:tc>
          <w:tcPr>
            <w:tcW w:w="9360" w:type="dxa"/>
            <w:gridSpan w:val="5"/>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60045D15" w14:textId="77777777" w:rsidR="00092595" w:rsidRPr="00627065" w:rsidRDefault="00092595" w:rsidP="00F46923">
            <w:pPr>
              <w:keepNext/>
              <w:keepLines/>
              <w:jc w:val="center"/>
              <w:textAlignment w:val="baseline"/>
              <w:rPr>
                <w:sz w:val="20"/>
                <w:szCs w:val="20"/>
              </w:rPr>
            </w:pPr>
            <w:r w:rsidRPr="00627065">
              <w:rPr>
                <w:b/>
                <w:bCs/>
                <w:sz w:val="20"/>
                <w:szCs w:val="20"/>
              </w:rPr>
              <w:t>FY 2022 Human Rights Data Reported by State Hospitals and Centers</w:t>
            </w:r>
            <w:r w:rsidRPr="00627065">
              <w:rPr>
                <w:sz w:val="20"/>
                <w:szCs w:val="20"/>
              </w:rPr>
              <w:t> </w:t>
            </w:r>
          </w:p>
        </w:tc>
      </w:tr>
      <w:tr w:rsidR="00092595" w:rsidRPr="00627065" w14:paraId="4F1E94FC" w14:textId="77777777" w:rsidTr="00341FA0">
        <w:trPr>
          <w:trHeight w:val="216"/>
        </w:trPr>
        <w:tc>
          <w:tcPr>
            <w:tcW w:w="8089" w:type="dxa"/>
            <w:gridSpan w:val="4"/>
            <w:tcBorders>
              <w:top w:val="nil"/>
              <w:left w:val="single" w:sz="6" w:space="0" w:color="7F7F7F"/>
              <w:bottom w:val="single" w:sz="6" w:space="0" w:color="7F7F7F"/>
              <w:right w:val="single" w:sz="6" w:space="0" w:color="7F7F7F"/>
            </w:tcBorders>
            <w:shd w:val="clear" w:color="auto" w:fill="auto"/>
            <w:vAlign w:val="center"/>
            <w:hideMark/>
          </w:tcPr>
          <w:p w14:paraId="51795743" w14:textId="77777777" w:rsidR="00092595" w:rsidRPr="00627065" w:rsidRDefault="00092595" w:rsidP="00F46923">
            <w:pPr>
              <w:keepNext/>
              <w:keepLines/>
              <w:textAlignment w:val="baseline"/>
              <w:rPr>
                <w:sz w:val="20"/>
                <w:szCs w:val="20"/>
              </w:rPr>
            </w:pPr>
            <w:r w:rsidRPr="00627065">
              <w:rPr>
                <w:sz w:val="20"/>
                <w:szCs w:val="20"/>
              </w:rPr>
              <w:t>Total Number of Human Rights Complaints  </w:t>
            </w:r>
          </w:p>
        </w:tc>
        <w:tc>
          <w:tcPr>
            <w:tcW w:w="1271" w:type="dxa"/>
            <w:tcBorders>
              <w:top w:val="nil"/>
              <w:left w:val="nil"/>
              <w:bottom w:val="single" w:sz="6" w:space="0" w:color="7F7F7F"/>
              <w:right w:val="single" w:sz="6" w:space="0" w:color="7F7F7F"/>
            </w:tcBorders>
            <w:shd w:val="clear" w:color="auto" w:fill="auto"/>
            <w:vAlign w:val="center"/>
            <w:hideMark/>
          </w:tcPr>
          <w:p w14:paraId="371581BA" w14:textId="77777777" w:rsidR="00092595" w:rsidRPr="00627065" w:rsidRDefault="00092595" w:rsidP="00F46923">
            <w:pPr>
              <w:keepNext/>
              <w:keepLines/>
              <w:jc w:val="center"/>
              <w:textAlignment w:val="baseline"/>
              <w:rPr>
                <w:sz w:val="20"/>
                <w:szCs w:val="20"/>
              </w:rPr>
            </w:pPr>
            <w:r w:rsidRPr="00627065">
              <w:rPr>
                <w:sz w:val="20"/>
                <w:szCs w:val="20"/>
              </w:rPr>
              <w:t>790</w:t>
            </w:r>
          </w:p>
        </w:tc>
      </w:tr>
      <w:tr w:rsidR="00092595" w:rsidRPr="00627065" w14:paraId="6D293FCC" w14:textId="77777777" w:rsidTr="00341FA0">
        <w:trPr>
          <w:trHeight w:val="206"/>
        </w:trPr>
        <w:tc>
          <w:tcPr>
            <w:tcW w:w="8089" w:type="dxa"/>
            <w:gridSpan w:val="4"/>
            <w:tcBorders>
              <w:top w:val="nil"/>
              <w:left w:val="single" w:sz="6" w:space="0" w:color="7F7F7F"/>
              <w:bottom w:val="single" w:sz="6" w:space="0" w:color="7F7F7F"/>
              <w:right w:val="single" w:sz="6" w:space="0" w:color="7F7F7F"/>
            </w:tcBorders>
            <w:shd w:val="clear" w:color="auto" w:fill="auto"/>
            <w:vAlign w:val="center"/>
            <w:hideMark/>
          </w:tcPr>
          <w:p w14:paraId="63466E46" w14:textId="77777777" w:rsidR="00092595" w:rsidRPr="00627065" w:rsidRDefault="00092595" w:rsidP="00F46923">
            <w:pPr>
              <w:keepNext/>
              <w:keepLines/>
              <w:textAlignment w:val="baseline"/>
              <w:rPr>
                <w:sz w:val="20"/>
                <w:szCs w:val="20"/>
              </w:rPr>
            </w:pPr>
            <w:r w:rsidRPr="00627065">
              <w:rPr>
                <w:sz w:val="20"/>
                <w:szCs w:val="20"/>
              </w:rPr>
              <w:t>Total Number of Complaints That Resulted in a Violation of Human Rights </w:t>
            </w:r>
          </w:p>
        </w:tc>
        <w:tc>
          <w:tcPr>
            <w:tcW w:w="1271" w:type="dxa"/>
            <w:tcBorders>
              <w:top w:val="nil"/>
              <w:left w:val="nil"/>
              <w:bottom w:val="single" w:sz="6" w:space="0" w:color="7F7F7F"/>
              <w:right w:val="single" w:sz="6" w:space="0" w:color="7F7F7F"/>
            </w:tcBorders>
            <w:shd w:val="clear" w:color="auto" w:fill="auto"/>
            <w:vAlign w:val="center"/>
            <w:hideMark/>
          </w:tcPr>
          <w:p w14:paraId="20014E65" w14:textId="77777777" w:rsidR="00092595" w:rsidRPr="00627065" w:rsidRDefault="00092595" w:rsidP="00F46923">
            <w:pPr>
              <w:keepNext/>
              <w:keepLines/>
              <w:jc w:val="center"/>
              <w:textAlignment w:val="baseline"/>
              <w:rPr>
                <w:sz w:val="20"/>
                <w:szCs w:val="20"/>
              </w:rPr>
            </w:pPr>
            <w:r w:rsidRPr="00627065">
              <w:rPr>
                <w:sz w:val="20"/>
                <w:szCs w:val="20"/>
              </w:rPr>
              <w:t>94</w:t>
            </w:r>
          </w:p>
        </w:tc>
      </w:tr>
      <w:tr w:rsidR="00092595" w:rsidRPr="00627065" w14:paraId="6E07C590" w14:textId="77777777" w:rsidTr="00341FA0">
        <w:trPr>
          <w:trHeight w:val="216"/>
        </w:trPr>
        <w:tc>
          <w:tcPr>
            <w:tcW w:w="8089" w:type="dxa"/>
            <w:gridSpan w:val="4"/>
            <w:tcBorders>
              <w:top w:val="nil"/>
              <w:left w:val="single" w:sz="6" w:space="0" w:color="7F7F7F"/>
              <w:bottom w:val="single" w:sz="6" w:space="0" w:color="7F7F7F"/>
              <w:right w:val="single" w:sz="6" w:space="0" w:color="7F7F7F"/>
            </w:tcBorders>
            <w:shd w:val="clear" w:color="auto" w:fill="auto"/>
            <w:vAlign w:val="center"/>
            <w:hideMark/>
          </w:tcPr>
          <w:p w14:paraId="62815D68" w14:textId="77777777" w:rsidR="00092595" w:rsidRPr="00627065" w:rsidRDefault="00092595" w:rsidP="00F46923">
            <w:pPr>
              <w:keepNext/>
              <w:keepLines/>
              <w:textAlignment w:val="baseline"/>
              <w:rPr>
                <w:sz w:val="20"/>
                <w:szCs w:val="20"/>
              </w:rPr>
            </w:pPr>
            <w:r w:rsidRPr="00627065">
              <w:rPr>
                <w:sz w:val="20"/>
                <w:szCs w:val="20"/>
              </w:rPr>
              <w:t>Total Number of Allegations of Abuse, Neglect, or Exploitation </w:t>
            </w:r>
          </w:p>
        </w:tc>
        <w:tc>
          <w:tcPr>
            <w:tcW w:w="1271" w:type="dxa"/>
            <w:tcBorders>
              <w:top w:val="nil"/>
              <w:left w:val="nil"/>
              <w:bottom w:val="single" w:sz="6" w:space="0" w:color="7F7F7F"/>
              <w:right w:val="single" w:sz="6" w:space="0" w:color="7F7F7F"/>
            </w:tcBorders>
            <w:shd w:val="clear" w:color="auto" w:fill="auto"/>
            <w:vAlign w:val="center"/>
            <w:hideMark/>
          </w:tcPr>
          <w:p w14:paraId="17E958FE" w14:textId="77777777" w:rsidR="00092595" w:rsidRPr="00627065" w:rsidRDefault="00092595" w:rsidP="00F46923">
            <w:pPr>
              <w:keepNext/>
              <w:keepLines/>
              <w:jc w:val="center"/>
              <w:textAlignment w:val="baseline"/>
              <w:rPr>
                <w:sz w:val="20"/>
                <w:szCs w:val="20"/>
              </w:rPr>
            </w:pPr>
            <w:r w:rsidRPr="00627065">
              <w:rPr>
                <w:sz w:val="20"/>
                <w:szCs w:val="20"/>
              </w:rPr>
              <w:t>537</w:t>
            </w:r>
          </w:p>
        </w:tc>
      </w:tr>
      <w:tr w:rsidR="00092595" w:rsidRPr="00627065" w14:paraId="7651D0C8" w14:textId="77777777" w:rsidTr="00341FA0">
        <w:trPr>
          <w:trHeight w:val="206"/>
        </w:trPr>
        <w:tc>
          <w:tcPr>
            <w:tcW w:w="8089" w:type="dxa"/>
            <w:gridSpan w:val="4"/>
            <w:tcBorders>
              <w:top w:val="nil"/>
              <w:left w:val="single" w:sz="6" w:space="0" w:color="7F7F7F"/>
              <w:bottom w:val="single" w:sz="6" w:space="0" w:color="7F7F7F"/>
              <w:right w:val="single" w:sz="6" w:space="0" w:color="7F7F7F"/>
            </w:tcBorders>
            <w:shd w:val="clear" w:color="auto" w:fill="auto"/>
            <w:vAlign w:val="center"/>
            <w:hideMark/>
          </w:tcPr>
          <w:p w14:paraId="3B33157B" w14:textId="77777777" w:rsidR="00092595" w:rsidRPr="00627065" w:rsidRDefault="00092595" w:rsidP="00F46923">
            <w:pPr>
              <w:keepNext/>
              <w:keepLines/>
              <w:textAlignment w:val="baseline"/>
              <w:rPr>
                <w:sz w:val="20"/>
                <w:szCs w:val="20"/>
              </w:rPr>
            </w:pPr>
            <w:r w:rsidRPr="00627065">
              <w:rPr>
                <w:sz w:val="20"/>
                <w:szCs w:val="20"/>
              </w:rPr>
              <w:t>Total Number of Substantiated Allegations of Abuse, Neglect, or Exploitation </w:t>
            </w:r>
          </w:p>
        </w:tc>
        <w:tc>
          <w:tcPr>
            <w:tcW w:w="1271" w:type="dxa"/>
            <w:tcBorders>
              <w:top w:val="nil"/>
              <w:left w:val="nil"/>
              <w:bottom w:val="single" w:sz="6" w:space="0" w:color="7F7F7F"/>
              <w:right w:val="single" w:sz="6" w:space="0" w:color="7F7F7F"/>
            </w:tcBorders>
            <w:shd w:val="clear" w:color="auto" w:fill="auto"/>
            <w:vAlign w:val="center"/>
            <w:hideMark/>
          </w:tcPr>
          <w:p w14:paraId="31CBE660" w14:textId="77777777" w:rsidR="00092595" w:rsidRPr="00627065" w:rsidRDefault="00092595" w:rsidP="00F46923">
            <w:pPr>
              <w:keepNext/>
              <w:keepLines/>
              <w:jc w:val="center"/>
              <w:textAlignment w:val="baseline"/>
              <w:rPr>
                <w:sz w:val="20"/>
                <w:szCs w:val="20"/>
              </w:rPr>
            </w:pPr>
            <w:r w:rsidRPr="00627065">
              <w:rPr>
                <w:sz w:val="20"/>
                <w:szCs w:val="20"/>
              </w:rPr>
              <w:t>85</w:t>
            </w:r>
          </w:p>
        </w:tc>
      </w:tr>
      <w:tr w:rsidR="00092595" w:rsidRPr="00627065" w14:paraId="22FC800D" w14:textId="77777777" w:rsidTr="00341FA0">
        <w:trPr>
          <w:trHeight w:val="216"/>
        </w:trPr>
        <w:tc>
          <w:tcPr>
            <w:tcW w:w="4711" w:type="dxa"/>
            <w:gridSpan w:val="2"/>
            <w:tcBorders>
              <w:top w:val="nil"/>
              <w:left w:val="single" w:sz="6" w:space="0" w:color="7F7F7F"/>
              <w:bottom w:val="single" w:sz="6" w:space="0" w:color="7F7F7F"/>
              <w:right w:val="single" w:sz="6" w:space="0" w:color="7F7F7F"/>
            </w:tcBorders>
            <w:shd w:val="clear" w:color="auto" w:fill="auto"/>
            <w:vAlign w:val="center"/>
            <w:hideMark/>
          </w:tcPr>
          <w:p w14:paraId="3BC375AD" w14:textId="77777777" w:rsidR="00092595" w:rsidRPr="00627065" w:rsidRDefault="00092595" w:rsidP="00F46923">
            <w:pPr>
              <w:keepNext/>
              <w:keepLines/>
              <w:jc w:val="center"/>
              <w:textAlignment w:val="baseline"/>
              <w:rPr>
                <w:i/>
                <w:sz w:val="20"/>
                <w:szCs w:val="20"/>
              </w:rPr>
            </w:pPr>
            <w:r w:rsidRPr="00627065">
              <w:rPr>
                <w:i/>
                <w:sz w:val="20"/>
                <w:szCs w:val="20"/>
              </w:rPr>
              <w:t>Substantiated Allegations by Type </w:t>
            </w:r>
          </w:p>
        </w:tc>
        <w:tc>
          <w:tcPr>
            <w:tcW w:w="2577" w:type="dxa"/>
            <w:tcBorders>
              <w:top w:val="nil"/>
              <w:left w:val="nil"/>
              <w:bottom w:val="single" w:sz="6" w:space="0" w:color="7F7F7F"/>
              <w:right w:val="single" w:sz="6" w:space="0" w:color="7F7F7F"/>
            </w:tcBorders>
            <w:shd w:val="clear" w:color="auto" w:fill="auto"/>
            <w:vAlign w:val="center"/>
            <w:hideMark/>
          </w:tcPr>
          <w:p w14:paraId="548652C6" w14:textId="77777777" w:rsidR="00092595" w:rsidRPr="00627065" w:rsidRDefault="00092595" w:rsidP="00F46923">
            <w:pPr>
              <w:keepNext/>
              <w:keepLines/>
              <w:jc w:val="center"/>
              <w:textAlignment w:val="baseline"/>
              <w:rPr>
                <w:sz w:val="20"/>
                <w:szCs w:val="20"/>
              </w:rPr>
            </w:pPr>
            <w:r w:rsidRPr="00627065">
              <w:rPr>
                <w:sz w:val="20"/>
                <w:szCs w:val="20"/>
              </w:rPr>
              <w:t>Exploitation </w:t>
            </w:r>
          </w:p>
        </w:tc>
        <w:tc>
          <w:tcPr>
            <w:tcW w:w="801" w:type="dxa"/>
            <w:tcBorders>
              <w:top w:val="nil"/>
              <w:left w:val="nil"/>
              <w:bottom w:val="single" w:sz="6" w:space="0" w:color="7F7F7F"/>
              <w:right w:val="single" w:sz="6" w:space="0" w:color="7F7F7F"/>
            </w:tcBorders>
            <w:shd w:val="clear" w:color="auto" w:fill="auto"/>
            <w:vAlign w:val="center"/>
            <w:hideMark/>
          </w:tcPr>
          <w:p w14:paraId="40226978" w14:textId="77777777" w:rsidR="00092595" w:rsidRPr="00627065" w:rsidRDefault="00092595" w:rsidP="00F46923">
            <w:pPr>
              <w:keepNext/>
              <w:keepLines/>
              <w:jc w:val="center"/>
              <w:textAlignment w:val="baseline"/>
              <w:rPr>
                <w:sz w:val="20"/>
                <w:szCs w:val="20"/>
              </w:rPr>
            </w:pPr>
            <w:r w:rsidRPr="00627065">
              <w:rPr>
                <w:sz w:val="20"/>
                <w:szCs w:val="20"/>
              </w:rPr>
              <w:t>3 </w:t>
            </w:r>
          </w:p>
        </w:tc>
        <w:tc>
          <w:tcPr>
            <w:tcW w:w="1271" w:type="dxa"/>
            <w:vMerge w:val="restart"/>
            <w:tcBorders>
              <w:top w:val="nil"/>
              <w:left w:val="nil"/>
              <w:bottom w:val="single" w:sz="6" w:space="0" w:color="7F7F7F"/>
              <w:right w:val="single" w:sz="6" w:space="0" w:color="7F7F7F"/>
            </w:tcBorders>
            <w:shd w:val="clear" w:color="auto" w:fill="BFBFBF"/>
            <w:vAlign w:val="center"/>
            <w:hideMark/>
          </w:tcPr>
          <w:p w14:paraId="0334FDE2" w14:textId="77777777" w:rsidR="00092595" w:rsidRPr="00627065" w:rsidRDefault="00092595" w:rsidP="00F46923">
            <w:pPr>
              <w:keepNext/>
              <w:keepLines/>
              <w:jc w:val="center"/>
              <w:textAlignment w:val="baseline"/>
              <w:rPr>
                <w:sz w:val="20"/>
                <w:szCs w:val="20"/>
              </w:rPr>
            </w:pPr>
            <w:r w:rsidRPr="00627065">
              <w:rPr>
                <w:b/>
                <w:bCs/>
                <w:sz w:val="20"/>
                <w:szCs w:val="20"/>
              </w:rPr>
              <w:t> </w:t>
            </w:r>
            <w:r w:rsidRPr="00627065">
              <w:rPr>
                <w:sz w:val="20"/>
                <w:szCs w:val="20"/>
              </w:rPr>
              <w:t> </w:t>
            </w:r>
          </w:p>
        </w:tc>
      </w:tr>
      <w:tr w:rsidR="00092595" w:rsidRPr="00627065" w14:paraId="64C45241" w14:textId="77777777" w:rsidTr="00341FA0">
        <w:trPr>
          <w:trHeight w:val="206"/>
        </w:trPr>
        <w:tc>
          <w:tcPr>
            <w:tcW w:w="3822" w:type="dxa"/>
            <w:tcBorders>
              <w:top w:val="nil"/>
              <w:left w:val="single" w:sz="6" w:space="0" w:color="7F7F7F"/>
              <w:bottom w:val="single" w:sz="6" w:space="0" w:color="7F7F7F"/>
              <w:right w:val="single" w:sz="6" w:space="0" w:color="7F7F7F"/>
            </w:tcBorders>
            <w:shd w:val="clear" w:color="auto" w:fill="auto"/>
            <w:vAlign w:val="center"/>
            <w:hideMark/>
          </w:tcPr>
          <w:p w14:paraId="4BC92800" w14:textId="77777777" w:rsidR="00092595" w:rsidRPr="00627065" w:rsidRDefault="00092595" w:rsidP="00F46923">
            <w:pPr>
              <w:keepNext/>
              <w:keepLines/>
              <w:jc w:val="center"/>
              <w:textAlignment w:val="baseline"/>
              <w:rPr>
                <w:sz w:val="20"/>
                <w:szCs w:val="20"/>
              </w:rPr>
            </w:pPr>
            <w:r w:rsidRPr="00627065">
              <w:rPr>
                <w:sz w:val="20"/>
                <w:szCs w:val="20"/>
              </w:rPr>
              <w:t>Physical Abuse </w:t>
            </w:r>
          </w:p>
        </w:tc>
        <w:tc>
          <w:tcPr>
            <w:tcW w:w="889" w:type="dxa"/>
            <w:tcBorders>
              <w:top w:val="nil"/>
              <w:left w:val="nil"/>
              <w:bottom w:val="single" w:sz="6" w:space="0" w:color="7F7F7F"/>
              <w:right w:val="single" w:sz="6" w:space="0" w:color="7F7F7F"/>
            </w:tcBorders>
            <w:shd w:val="clear" w:color="auto" w:fill="auto"/>
            <w:vAlign w:val="center"/>
            <w:hideMark/>
          </w:tcPr>
          <w:p w14:paraId="7F105818" w14:textId="77777777" w:rsidR="00092595" w:rsidRPr="00627065" w:rsidRDefault="00092595" w:rsidP="00F46923">
            <w:pPr>
              <w:keepNext/>
              <w:keepLines/>
              <w:jc w:val="center"/>
              <w:textAlignment w:val="baseline"/>
              <w:rPr>
                <w:sz w:val="20"/>
                <w:szCs w:val="20"/>
              </w:rPr>
            </w:pPr>
            <w:r w:rsidRPr="00627065">
              <w:rPr>
                <w:sz w:val="20"/>
                <w:szCs w:val="20"/>
              </w:rPr>
              <w:t>25 </w:t>
            </w:r>
          </w:p>
        </w:tc>
        <w:tc>
          <w:tcPr>
            <w:tcW w:w="2577" w:type="dxa"/>
            <w:tcBorders>
              <w:top w:val="nil"/>
              <w:left w:val="nil"/>
              <w:bottom w:val="single" w:sz="6" w:space="0" w:color="7F7F7F"/>
              <w:right w:val="single" w:sz="6" w:space="0" w:color="7F7F7F"/>
            </w:tcBorders>
            <w:shd w:val="clear" w:color="auto" w:fill="auto"/>
            <w:vAlign w:val="center"/>
            <w:hideMark/>
          </w:tcPr>
          <w:p w14:paraId="31109797" w14:textId="77777777" w:rsidR="00092595" w:rsidRPr="00627065" w:rsidRDefault="00092595" w:rsidP="00F46923">
            <w:pPr>
              <w:keepNext/>
              <w:keepLines/>
              <w:jc w:val="center"/>
              <w:textAlignment w:val="baseline"/>
              <w:rPr>
                <w:sz w:val="20"/>
                <w:szCs w:val="20"/>
              </w:rPr>
            </w:pPr>
            <w:r w:rsidRPr="00627065">
              <w:rPr>
                <w:sz w:val="20"/>
                <w:szCs w:val="20"/>
              </w:rPr>
              <w:t>Neglect </w:t>
            </w:r>
          </w:p>
        </w:tc>
        <w:tc>
          <w:tcPr>
            <w:tcW w:w="801" w:type="dxa"/>
            <w:tcBorders>
              <w:top w:val="nil"/>
              <w:left w:val="nil"/>
              <w:bottom w:val="single" w:sz="6" w:space="0" w:color="7F7F7F"/>
              <w:right w:val="single" w:sz="6" w:space="0" w:color="7F7F7F"/>
            </w:tcBorders>
            <w:shd w:val="clear" w:color="auto" w:fill="auto"/>
            <w:vAlign w:val="center"/>
            <w:hideMark/>
          </w:tcPr>
          <w:p w14:paraId="649453E5" w14:textId="77777777" w:rsidR="00092595" w:rsidRPr="00627065" w:rsidRDefault="00092595" w:rsidP="00F46923">
            <w:pPr>
              <w:keepNext/>
              <w:keepLines/>
              <w:jc w:val="center"/>
              <w:textAlignment w:val="baseline"/>
              <w:rPr>
                <w:sz w:val="20"/>
                <w:szCs w:val="20"/>
              </w:rPr>
            </w:pPr>
            <w:r w:rsidRPr="00627065">
              <w:rPr>
                <w:sz w:val="20"/>
                <w:szCs w:val="20"/>
              </w:rPr>
              <w:t>25 </w:t>
            </w:r>
          </w:p>
        </w:tc>
        <w:tc>
          <w:tcPr>
            <w:tcW w:w="1271" w:type="dxa"/>
            <w:vMerge/>
            <w:tcBorders>
              <w:top w:val="nil"/>
              <w:left w:val="nil"/>
              <w:bottom w:val="single" w:sz="6" w:space="0" w:color="7F7F7F"/>
              <w:right w:val="single" w:sz="6" w:space="0" w:color="7F7F7F"/>
            </w:tcBorders>
            <w:shd w:val="clear" w:color="auto" w:fill="auto"/>
            <w:vAlign w:val="center"/>
            <w:hideMark/>
          </w:tcPr>
          <w:p w14:paraId="29636271" w14:textId="77777777" w:rsidR="00092595" w:rsidRPr="00627065" w:rsidRDefault="00092595" w:rsidP="00F46923">
            <w:pPr>
              <w:keepNext/>
              <w:keepLines/>
              <w:rPr>
                <w:sz w:val="20"/>
                <w:szCs w:val="20"/>
              </w:rPr>
            </w:pPr>
          </w:p>
        </w:tc>
      </w:tr>
      <w:tr w:rsidR="00092595" w:rsidRPr="00627065" w14:paraId="67CF4E38" w14:textId="77777777" w:rsidTr="00341FA0">
        <w:trPr>
          <w:trHeight w:val="187"/>
        </w:trPr>
        <w:tc>
          <w:tcPr>
            <w:tcW w:w="3822" w:type="dxa"/>
            <w:tcBorders>
              <w:top w:val="nil"/>
              <w:left w:val="single" w:sz="6" w:space="0" w:color="7F7F7F"/>
              <w:bottom w:val="single" w:sz="6" w:space="0" w:color="7F7F7F"/>
              <w:right w:val="single" w:sz="6" w:space="0" w:color="7F7F7F"/>
            </w:tcBorders>
            <w:shd w:val="clear" w:color="auto" w:fill="auto"/>
            <w:vAlign w:val="center"/>
            <w:hideMark/>
          </w:tcPr>
          <w:p w14:paraId="5A947336" w14:textId="77777777" w:rsidR="00092595" w:rsidRPr="00627065" w:rsidRDefault="00092595" w:rsidP="00F46923">
            <w:pPr>
              <w:keepNext/>
              <w:keepLines/>
              <w:jc w:val="center"/>
              <w:textAlignment w:val="baseline"/>
              <w:rPr>
                <w:sz w:val="20"/>
                <w:szCs w:val="20"/>
              </w:rPr>
            </w:pPr>
            <w:r w:rsidRPr="00627065">
              <w:rPr>
                <w:sz w:val="20"/>
                <w:szCs w:val="20"/>
              </w:rPr>
              <w:t>Verbal Abuse </w:t>
            </w:r>
          </w:p>
        </w:tc>
        <w:tc>
          <w:tcPr>
            <w:tcW w:w="889" w:type="dxa"/>
            <w:tcBorders>
              <w:top w:val="nil"/>
              <w:left w:val="nil"/>
              <w:bottom w:val="single" w:sz="6" w:space="0" w:color="7F7F7F"/>
              <w:right w:val="single" w:sz="6" w:space="0" w:color="7F7F7F"/>
            </w:tcBorders>
            <w:shd w:val="clear" w:color="auto" w:fill="auto"/>
            <w:vAlign w:val="center"/>
            <w:hideMark/>
          </w:tcPr>
          <w:p w14:paraId="0C14B22A" w14:textId="77777777" w:rsidR="00092595" w:rsidRPr="00627065" w:rsidRDefault="00092595" w:rsidP="00F46923">
            <w:pPr>
              <w:keepNext/>
              <w:keepLines/>
              <w:jc w:val="center"/>
              <w:textAlignment w:val="baseline"/>
              <w:rPr>
                <w:sz w:val="20"/>
                <w:szCs w:val="20"/>
              </w:rPr>
            </w:pPr>
            <w:r w:rsidRPr="00627065">
              <w:rPr>
                <w:sz w:val="20"/>
                <w:szCs w:val="20"/>
              </w:rPr>
              <w:t>22</w:t>
            </w:r>
          </w:p>
        </w:tc>
        <w:tc>
          <w:tcPr>
            <w:tcW w:w="2577" w:type="dxa"/>
            <w:tcBorders>
              <w:top w:val="nil"/>
              <w:left w:val="nil"/>
              <w:bottom w:val="single" w:sz="6" w:space="0" w:color="7F7F7F"/>
              <w:right w:val="single" w:sz="6" w:space="0" w:color="7F7F7F"/>
            </w:tcBorders>
            <w:shd w:val="clear" w:color="auto" w:fill="auto"/>
            <w:vAlign w:val="center"/>
            <w:hideMark/>
          </w:tcPr>
          <w:p w14:paraId="1103BD0B" w14:textId="77777777" w:rsidR="00092595" w:rsidRPr="00627065" w:rsidRDefault="00092595" w:rsidP="00F46923">
            <w:pPr>
              <w:keepNext/>
              <w:keepLines/>
              <w:jc w:val="center"/>
              <w:textAlignment w:val="baseline"/>
              <w:rPr>
                <w:sz w:val="20"/>
                <w:szCs w:val="20"/>
              </w:rPr>
            </w:pPr>
            <w:r w:rsidRPr="00627065">
              <w:rPr>
                <w:sz w:val="20"/>
                <w:szCs w:val="20"/>
              </w:rPr>
              <w:t>Neglect (Peer-to-Peer) </w:t>
            </w:r>
          </w:p>
        </w:tc>
        <w:tc>
          <w:tcPr>
            <w:tcW w:w="801" w:type="dxa"/>
            <w:tcBorders>
              <w:top w:val="nil"/>
              <w:left w:val="nil"/>
              <w:bottom w:val="single" w:sz="6" w:space="0" w:color="7F7F7F"/>
              <w:right w:val="single" w:sz="6" w:space="0" w:color="7F7F7F"/>
            </w:tcBorders>
            <w:shd w:val="clear" w:color="auto" w:fill="auto"/>
            <w:vAlign w:val="center"/>
            <w:hideMark/>
          </w:tcPr>
          <w:p w14:paraId="577802EC" w14:textId="77777777" w:rsidR="00092595" w:rsidRPr="00627065" w:rsidRDefault="00092595" w:rsidP="00F46923">
            <w:pPr>
              <w:keepNext/>
              <w:keepLines/>
              <w:jc w:val="center"/>
              <w:textAlignment w:val="baseline"/>
              <w:rPr>
                <w:sz w:val="20"/>
                <w:szCs w:val="20"/>
              </w:rPr>
            </w:pPr>
            <w:r w:rsidRPr="00627065">
              <w:rPr>
                <w:sz w:val="20"/>
                <w:szCs w:val="20"/>
              </w:rPr>
              <w:t>2</w:t>
            </w:r>
          </w:p>
        </w:tc>
        <w:tc>
          <w:tcPr>
            <w:tcW w:w="1271" w:type="dxa"/>
            <w:vMerge/>
            <w:tcBorders>
              <w:top w:val="nil"/>
              <w:left w:val="nil"/>
              <w:bottom w:val="single" w:sz="6" w:space="0" w:color="7F7F7F"/>
              <w:right w:val="single" w:sz="6" w:space="0" w:color="7F7F7F"/>
            </w:tcBorders>
            <w:shd w:val="clear" w:color="auto" w:fill="auto"/>
            <w:vAlign w:val="center"/>
            <w:hideMark/>
          </w:tcPr>
          <w:p w14:paraId="3214ECDB" w14:textId="77777777" w:rsidR="00092595" w:rsidRPr="00627065" w:rsidRDefault="00092595" w:rsidP="00F46923">
            <w:pPr>
              <w:keepNext/>
              <w:keepLines/>
              <w:rPr>
                <w:sz w:val="20"/>
                <w:szCs w:val="20"/>
              </w:rPr>
            </w:pPr>
          </w:p>
        </w:tc>
      </w:tr>
      <w:tr w:rsidR="00092595" w:rsidRPr="00627065" w14:paraId="47D8CD4F" w14:textId="77777777" w:rsidTr="00974FB5">
        <w:trPr>
          <w:trHeight w:val="237"/>
        </w:trPr>
        <w:tc>
          <w:tcPr>
            <w:tcW w:w="3822" w:type="dxa"/>
            <w:tcBorders>
              <w:top w:val="nil"/>
              <w:left w:val="single" w:sz="6" w:space="0" w:color="7F7F7F"/>
              <w:bottom w:val="single" w:sz="6" w:space="0" w:color="7F7F7F"/>
              <w:right w:val="single" w:sz="6" w:space="0" w:color="7F7F7F"/>
            </w:tcBorders>
            <w:shd w:val="clear" w:color="auto" w:fill="auto"/>
            <w:vAlign w:val="center"/>
            <w:hideMark/>
          </w:tcPr>
          <w:p w14:paraId="16F8B12F" w14:textId="77777777" w:rsidR="00092595" w:rsidRPr="00627065" w:rsidRDefault="00092595" w:rsidP="00F46923">
            <w:pPr>
              <w:keepNext/>
              <w:keepLines/>
              <w:jc w:val="center"/>
              <w:textAlignment w:val="baseline"/>
              <w:rPr>
                <w:sz w:val="20"/>
                <w:szCs w:val="20"/>
              </w:rPr>
            </w:pPr>
            <w:r w:rsidRPr="00627065">
              <w:rPr>
                <w:sz w:val="20"/>
                <w:szCs w:val="20"/>
              </w:rPr>
              <w:t>Sexual Abuse </w:t>
            </w:r>
          </w:p>
        </w:tc>
        <w:tc>
          <w:tcPr>
            <w:tcW w:w="889" w:type="dxa"/>
            <w:tcBorders>
              <w:top w:val="nil"/>
              <w:left w:val="nil"/>
              <w:bottom w:val="single" w:sz="6" w:space="0" w:color="7F7F7F"/>
              <w:right w:val="single" w:sz="6" w:space="0" w:color="7F7F7F"/>
            </w:tcBorders>
            <w:shd w:val="clear" w:color="auto" w:fill="auto"/>
            <w:vAlign w:val="center"/>
            <w:hideMark/>
          </w:tcPr>
          <w:p w14:paraId="5DB20EB2" w14:textId="77777777" w:rsidR="00092595" w:rsidRPr="00627065" w:rsidRDefault="00092595" w:rsidP="00F46923">
            <w:pPr>
              <w:keepNext/>
              <w:keepLines/>
              <w:jc w:val="center"/>
              <w:textAlignment w:val="baseline"/>
              <w:rPr>
                <w:sz w:val="20"/>
                <w:szCs w:val="20"/>
              </w:rPr>
            </w:pPr>
            <w:r w:rsidRPr="00627065">
              <w:rPr>
                <w:sz w:val="20"/>
                <w:szCs w:val="20"/>
              </w:rPr>
              <w:t>2 </w:t>
            </w:r>
          </w:p>
        </w:tc>
        <w:tc>
          <w:tcPr>
            <w:tcW w:w="2577" w:type="dxa"/>
            <w:tcBorders>
              <w:top w:val="nil"/>
              <w:left w:val="nil"/>
              <w:bottom w:val="single" w:sz="6" w:space="0" w:color="7F7F7F"/>
              <w:right w:val="single" w:sz="6" w:space="0" w:color="7F7F7F"/>
            </w:tcBorders>
            <w:shd w:val="clear" w:color="auto" w:fill="auto"/>
            <w:vAlign w:val="center"/>
            <w:hideMark/>
          </w:tcPr>
          <w:p w14:paraId="12EAAC77" w14:textId="77777777" w:rsidR="00092595" w:rsidRPr="00627065" w:rsidRDefault="00092595" w:rsidP="00F46923">
            <w:pPr>
              <w:keepNext/>
              <w:keepLines/>
              <w:jc w:val="center"/>
              <w:textAlignment w:val="baseline"/>
              <w:rPr>
                <w:sz w:val="20"/>
                <w:szCs w:val="20"/>
              </w:rPr>
            </w:pPr>
            <w:r w:rsidRPr="00627065">
              <w:rPr>
                <w:sz w:val="20"/>
                <w:szCs w:val="20"/>
              </w:rPr>
              <w:t>Unauthorized use of Restraint</w:t>
            </w:r>
          </w:p>
        </w:tc>
        <w:tc>
          <w:tcPr>
            <w:tcW w:w="801" w:type="dxa"/>
            <w:tcBorders>
              <w:top w:val="nil"/>
              <w:left w:val="nil"/>
              <w:bottom w:val="single" w:sz="6" w:space="0" w:color="7F7F7F"/>
              <w:right w:val="single" w:sz="6" w:space="0" w:color="7F7F7F"/>
            </w:tcBorders>
            <w:shd w:val="clear" w:color="auto" w:fill="auto"/>
            <w:vAlign w:val="center"/>
            <w:hideMark/>
          </w:tcPr>
          <w:p w14:paraId="4FE716FD" w14:textId="77777777" w:rsidR="00092595" w:rsidRPr="00627065" w:rsidRDefault="00092595" w:rsidP="00F46923">
            <w:pPr>
              <w:keepNext/>
              <w:keepLines/>
              <w:jc w:val="center"/>
              <w:textAlignment w:val="baseline"/>
              <w:rPr>
                <w:sz w:val="20"/>
                <w:szCs w:val="20"/>
              </w:rPr>
            </w:pPr>
            <w:r w:rsidRPr="00627065">
              <w:rPr>
                <w:sz w:val="20"/>
                <w:szCs w:val="20"/>
              </w:rPr>
              <w:t> 8</w:t>
            </w:r>
          </w:p>
        </w:tc>
        <w:tc>
          <w:tcPr>
            <w:tcW w:w="1271" w:type="dxa"/>
            <w:vMerge/>
            <w:tcBorders>
              <w:top w:val="nil"/>
              <w:left w:val="nil"/>
              <w:bottom w:val="single" w:sz="6" w:space="0" w:color="7F7F7F"/>
              <w:right w:val="single" w:sz="6" w:space="0" w:color="7F7F7F"/>
            </w:tcBorders>
            <w:shd w:val="clear" w:color="auto" w:fill="auto"/>
            <w:vAlign w:val="center"/>
            <w:hideMark/>
          </w:tcPr>
          <w:p w14:paraId="6F69C5DE" w14:textId="77777777" w:rsidR="00092595" w:rsidRPr="00627065" w:rsidRDefault="00092595" w:rsidP="00F46923">
            <w:pPr>
              <w:keepNext/>
              <w:keepLines/>
              <w:rPr>
                <w:sz w:val="20"/>
                <w:szCs w:val="20"/>
              </w:rPr>
            </w:pPr>
          </w:p>
        </w:tc>
      </w:tr>
      <w:tr w:rsidR="00092595" w:rsidRPr="00627065" w14:paraId="09441F60" w14:textId="77777777" w:rsidTr="00974FB5">
        <w:trPr>
          <w:trHeight w:val="93"/>
        </w:trPr>
        <w:tc>
          <w:tcPr>
            <w:tcW w:w="9360" w:type="dxa"/>
            <w:gridSpan w:val="5"/>
            <w:tcBorders>
              <w:top w:val="nil"/>
              <w:left w:val="single" w:sz="6" w:space="0" w:color="7F7F7F"/>
              <w:bottom w:val="single" w:sz="6" w:space="0" w:color="7F7F7F"/>
              <w:right w:val="single" w:sz="6" w:space="0" w:color="7F7F7F"/>
            </w:tcBorders>
            <w:shd w:val="clear" w:color="auto" w:fill="BFBFBF"/>
            <w:vAlign w:val="center"/>
            <w:hideMark/>
          </w:tcPr>
          <w:p w14:paraId="63492CAF" w14:textId="77777777" w:rsidR="00092595" w:rsidRPr="00627065" w:rsidRDefault="00092595" w:rsidP="00F46923">
            <w:pPr>
              <w:keepNext/>
              <w:keepLines/>
              <w:jc w:val="center"/>
              <w:textAlignment w:val="baseline"/>
              <w:rPr>
                <w:sz w:val="20"/>
                <w:szCs w:val="20"/>
              </w:rPr>
            </w:pPr>
            <w:r w:rsidRPr="00627065">
              <w:rPr>
                <w:b/>
                <w:bCs/>
                <w:sz w:val="20"/>
                <w:szCs w:val="20"/>
              </w:rPr>
              <w:t> </w:t>
            </w:r>
            <w:r w:rsidRPr="00627065">
              <w:rPr>
                <w:sz w:val="20"/>
                <w:szCs w:val="20"/>
              </w:rPr>
              <w:t> </w:t>
            </w:r>
          </w:p>
        </w:tc>
      </w:tr>
      <w:tr w:rsidR="00092595" w:rsidRPr="00627065" w14:paraId="1B6913DD" w14:textId="77777777" w:rsidTr="00341FA0">
        <w:trPr>
          <w:trHeight w:val="423"/>
        </w:trPr>
        <w:tc>
          <w:tcPr>
            <w:tcW w:w="9360" w:type="dxa"/>
            <w:gridSpan w:val="5"/>
            <w:tcBorders>
              <w:top w:val="nil"/>
              <w:left w:val="single" w:sz="6" w:space="0" w:color="7F7F7F"/>
              <w:bottom w:val="single" w:sz="6" w:space="0" w:color="7F7F7F"/>
              <w:right w:val="single" w:sz="6" w:space="0" w:color="7F7F7F"/>
            </w:tcBorders>
            <w:shd w:val="clear" w:color="auto" w:fill="auto"/>
            <w:vAlign w:val="center"/>
            <w:hideMark/>
          </w:tcPr>
          <w:p w14:paraId="15746BA3" w14:textId="77777777" w:rsidR="00092595" w:rsidRPr="00627065" w:rsidRDefault="00092595" w:rsidP="00F46923">
            <w:pPr>
              <w:keepNext/>
              <w:keepLines/>
              <w:jc w:val="center"/>
              <w:textAlignment w:val="baseline"/>
              <w:rPr>
                <w:sz w:val="20"/>
                <w:szCs w:val="20"/>
              </w:rPr>
            </w:pPr>
            <w:r w:rsidRPr="00627065">
              <w:rPr>
                <w:sz w:val="20"/>
                <w:szCs w:val="20"/>
              </w:rPr>
              <w:t>Resolution Levels for the 790 Human Rights Complaints </w:t>
            </w:r>
          </w:p>
          <w:p w14:paraId="2E5203D0" w14:textId="77777777" w:rsidR="00092595" w:rsidRPr="00627065" w:rsidRDefault="00092595" w:rsidP="00F46923">
            <w:pPr>
              <w:keepNext/>
              <w:keepLines/>
              <w:jc w:val="center"/>
              <w:textAlignment w:val="baseline"/>
              <w:rPr>
                <w:sz w:val="20"/>
                <w:szCs w:val="20"/>
              </w:rPr>
            </w:pPr>
            <w:r w:rsidRPr="00627065">
              <w:rPr>
                <w:sz w:val="20"/>
                <w:szCs w:val="20"/>
              </w:rPr>
              <w:t>and 537 Allegations of Abuse, Neglect, or Exploitation </w:t>
            </w:r>
          </w:p>
        </w:tc>
      </w:tr>
      <w:tr w:rsidR="00092595" w:rsidRPr="00627065" w14:paraId="25FF1907" w14:textId="77777777" w:rsidTr="00341FA0">
        <w:trPr>
          <w:trHeight w:val="206"/>
        </w:trPr>
        <w:tc>
          <w:tcPr>
            <w:tcW w:w="3822" w:type="dxa"/>
            <w:tcBorders>
              <w:top w:val="nil"/>
              <w:left w:val="single" w:sz="6" w:space="0" w:color="7F7F7F"/>
              <w:bottom w:val="single" w:sz="6" w:space="0" w:color="7F7F7F"/>
              <w:right w:val="single" w:sz="6" w:space="0" w:color="7F7F7F"/>
            </w:tcBorders>
            <w:shd w:val="clear" w:color="auto" w:fill="auto"/>
            <w:vAlign w:val="center"/>
            <w:hideMark/>
          </w:tcPr>
          <w:p w14:paraId="292BBBD6" w14:textId="77777777" w:rsidR="00092595" w:rsidRPr="00627065" w:rsidRDefault="00092595" w:rsidP="00F46923">
            <w:pPr>
              <w:keepNext/>
              <w:keepLines/>
              <w:jc w:val="center"/>
              <w:textAlignment w:val="baseline"/>
              <w:rPr>
                <w:sz w:val="20"/>
                <w:szCs w:val="20"/>
              </w:rPr>
            </w:pPr>
            <w:r w:rsidRPr="00627065">
              <w:rPr>
                <w:sz w:val="20"/>
                <w:szCs w:val="20"/>
              </w:rPr>
              <w:t xml:space="preserve">Director and </w:t>
            </w:r>
            <w:proofErr w:type="gramStart"/>
            <w:r w:rsidRPr="00627065">
              <w:rPr>
                <w:sz w:val="20"/>
                <w:szCs w:val="20"/>
              </w:rPr>
              <w:t>Below</w:t>
            </w:r>
            <w:proofErr w:type="gramEnd"/>
            <w:r w:rsidRPr="00627065">
              <w:rPr>
                <w:sz w:val="20"/>
                <w:szCs w:val="20"/>
              </w:rPr>
              <w:t>   </w:t>
            </w:r>
          </w:p>
        </w:tc>
        <w:tc>
          <w:tcPr>
            <w:tcW w:w="889" w:type="dxa"/>
            <w:tcBorders>
              <w:top w:val="nil"/>
              <w:left w:val="nil"/>
              <w:bottom w:val="single" w:sz="6" w:space="0" w:color="7F7F7F"/>
              <w:right w:val="single" w:sz="6" w:space="0" w:color="7F7F7F"/>
            </w:tcBorders>
            <w:shd w:val="clear" w:color="auto" w:fill="auto"/>
            <w:vAlign w:val="center"/>
            <w:hideMark/>
          </w:tcPr>
          <w:p w14:paraId="0DD1BD36" w14:textId="77777777" w:rsidR="00092595" w:rsidRPr="00627065" w:rsidRDefault="00092595" w:rsidP="00F46923">
            <w:pPr>
              <w:keepNext/>
              <w:keepLines/>
              <w:jc w:val="center"/>
              <w:textAlignment w:val="baseline"/>
              <w:rPr>
                <w:sz w:val="20"/>
                <w:szCs w:val="20"/>
              </w:rPr>
            </w:pPr>
            <w:r w:rsidRPr="00627065">
              <w:rPr>
                <w:sz w:val="20"/>
                <w:szCs w:val="20"/>
              </w:rPr>
              <w:t>1,310</w:t>
            </w:r>
          </w:p>
        </w:tc>
        <w:tc>
          <w:tcPr>
            <w:tcW w:w="3378" w:type="dxa"/>
            <w:gridSpan w:val="2"/>
            <w:tcBorders>
              <w:top w:val="nil"/>
              <w:left w:val="nil"/>
              <w:bottom w:val="single" w:sz="6" w:space="0" w:color="7F7F7F"/>
              <w:right w:val="single" w:sz="6" w:space="0" w:color="7F7F7F"/>
            </w:tcBorders>
            <w:shd w:val="clear" w:color="auto" w:fill="auto"/>
            <w:vAlign w:val="center"/>
            <w:hideMark/>
          </w:tcPr>
          <w:p w14:paraId="42548A7F" w14:textId="77777777" w:rsidR="00092595" w:rsidRPr="00627065" w:rsidRDefault="00092595" w:rsidP="00F46923">
            <w:pPr>
              <w:keepNext/>
              <w:keepLines/>
              <w:jc w:val="center"/>
              <w:textAlignment w:val="baseline"/>
              <w:rPr>
                <w:sz w:val="20"/>
                <w:szCs w:val="20"/>
              </w:rPr>
            </w:pPr>
            <w:r w:rsidRPr="00627065">
              <w:rPr>
                <w:sz w:val="20"/>
                <w:szCs w:val="20"/>
              </w:rPr>
              <w:t>State Human Rights Committee   </w:t>
            </w:r>
          </w:p>
        </w:tc>
        <w:tc>
          <w:tcPr>
            <w:tcW w:w="1271" w:type="dxa"/>
            <w:tcBorders>
              <w:top w:val="nil"/>
              <w:left w:val="nil"/>
              <w:bottom w:val="single" w:sz="6" w:space="0" w:color="7F7F7F"/>
              <w:right w:val="single" w:sz="6" w:space="0" w:color="7F7F7F"/>
            </w:tcBorders>
            <w:shd w:val="clear" w:color="auto" w:fill="auto"/>
            <w:vAlign w:val="center"/>
            <w:hideMark/>
          </w:tcPr>
          <w:p w14:paraId="405207B9" w14:textId="77777777" w:rsidR="00092595" w:rsidRPr="00627065" w:rsidRDefault="00092595" w:rsidP="00F46923">
            <w:pPr>
              <w:keepNext/>
              <w:keepLines/>
              <w:jc w:val="center"/>
              <w:textAlignment w:val="baseline"/>
              <w:rPr>
                <w:sz w:val="20"/>
                <w:szCs w:val="20"/>
              </w:rPr>
            </w:pPr>
            <w:r w:rsidRPr="00627065">
              <w:rPr>
                <w:sz w:val="20"/>
                <w:szCs w:val="20"/>
              </w:rPr>
              <w:t>17* </w:t>
            </w:r>
          </w:p>
        </w:tc>
      </w:tr>
      <w:tr w:rsidR="00092595" w:rsidRPr="00627065" w14:paraId="6A001361" w14:textId="77777777" w:rsidTr="00341FA0">
        <w:trPr>
          <w:trHeight w:val="216"/>
        </w:trPr>
        <w:tc>
          <w:tcPr>
            <w:tcW w:w="3822" w:type="dxa"/>
            <w:tcBorders>
              <w:top w:val="nil"/>
              <w:left w:val="single" w:sz="6" w:space="0" w:color="7F7F7F"/>
              <w:bottom w:val="single" w:sz="6" w:space="0" w:color="7F7F7F"/>
              <w:right w:val="single" w:sz="6" w:space="0" w:color="7F7F7F"/>
            </w:tcBorders>
            <w:shd w:val="clear" w:color="auto" w:fill="auto"/>
            <w:vAlign w:val="center"/>
            <w:hideMark/>
          </w:tcPr>
          <w:p w14:paraId="466FECB2" w14:textId="77777777" w:rsidR="00092595" w:rsidRPr="00627065" w:rsidRDefault="00092595" w:rsidP="00F46923">
            <w:pPr>
              <w:keepNext/>
              <w:keepLines/>
              <w:jc w:val="center"/>
              <w:textAlignment w:val="baseline"/>
              <w:rPr>
                <w:sz w:val="20"/>
                <w:szCs w:val="20"/>
              </w:rPr>
            </w:pPr>
            <w:r w:rsidRPr="00627065">
              <w:rPr>
                <w:sz w:val="20"/>
                <w:szCs w:val="20"/>
              </w:rPr>
              <w:t>Local Human Rights Committee  </w:t>
            </w:r>
          </w:p>
        </w:tc>
        <w:tc>
          <w:tcPr>
            <w:tcW w:w="889" w:type="dxa"/>
            <w:tcBorders>
              <w:top w:val="nil"/>
              <w:left w:val="nil"/>
              <w:bottom w:val="single" w:sz="6" w:space="0" w:color="7F7F7F"/>
              <w:right w:val="single" w:sz="6" w:space="0" w:color="7F7F7F"/>
            </w:tcBorders>
            <w:shd w:val="clear" w:color="auto" w:fill="auto"/>
            <w:vAlign w:val="center"/>
            <w:hideMark/>
          </w:tcPr>
          <w:p w14:paraId="4ED8499F" w14:textId="77777777" w:rsidR="00092595" w:rsidRPr="00627065" w:rsidRDefault="00092595" w:rsidP="00F46923">
            <w:pPr>
              <w:keepNext/>
              <w:keepLines/>
              <w:jc w:val="center"/>
              <w:textAlignment w:val="baseline"/>
              <w:rPr>
                <w:sz w:val="20"/>
                <w:szCs w:val="20"/>
              </w:rPr>
            </w:pPr>
            <w:r w:rsidRPr="00627065">
              <w:rPr>
                <w:sz w:val="20"/>
                <w:szCs w:val="20"/>
              </w:rPr>
              <w:t>3 </w:t>
            </w:r>
          </w:p>
        </w:tc>
        <w:tc>
          <w:tcPr>
            <w:tcW w:w="3378" w:type="dxa"/>
            <w:gridSpan w:val="2"/>
            <w:tcBorders>
              <w:top w:val="nil"/>
              <w:left w:val="nil"/>
              <w:bottom w:val="single" w:sz="6" w:space="0" w:color="7F7F7F"/>
              <w:right w:val="single" w:sz="6" w:space="0" w:color="7F7F7F"/>
            </w:tcBorders>
            <w:shd w:val="clear" w:color="auto" w:fill="auto"/>
            <w:vAlign w:val="center"/>
            <w:hideMark/>
          </w:tcPr>
          <w:p w14:paraId="5A8D343F" w14:textId="77777777" w:rsidR="00092595" w:rsidRPr="00627065" w:rsidRDefault="00092595" w:rsidP="00F46923">
            <w:pPr>
              <w:keepNext/>
              <w:keepLines/>
              <w:jc w:val="center"/>
              <w:textAlignment w:val="baseline"/>
              <w:rPr>
                <w:sz w:val="20"/>
                <w:szCs w:val="20"/>
              </w:rPr>
            </w:pPr>
            <w:r w:rsidRPr="00627065">
              <w:rPr>
                <w:sz w:val="20"/>
                <w:szCs w:val="20"/>
              </w:rPr>
              <w:t>DBHDS Commissioner </w:t>
            </w:r>
          </w:p>
        </w:tc>
        <w:tc>
          <w:tcPr>
            <w:tcW w:w="1271" w:type="dxa"/>
            <w:tcBorders>
              <w:top w:val="nil"/>
              <w:left w:val="nil"/>
              <w:bottom w:val="single" w:sz="6" w:space="0" w:color="7F7F7F"/>
              <w:right w:val="single" w:sz="6" w:space="0" w:color="7F7F7F"/>
            </w:tcBorders>
            <w:shd w:val="clear" w:color="auto" w:fill="auto"/>
            <w:vAlign w:val="center"/>
            <w:hideMark/>
          </w:tcPr>
          <w:p w14:paraId="761A4CC5" w14:textId="77777777" w:rsidR="00092595" w:rsidRPr="00627065" w:rsidRDefault="00092595" w:rsidP="00F46923">
            <w:pPr>
              <w:keepNext/>
              <w:keepLines/>
              <w:jc w:val="center"/>
              <w:textAlignment w:val="baseline"/>
              <w:rPr>
                <w:sz w:val="20"/>
                <w:szCs w:val="20"/>
              </w:rPr>
            </w:pPr>
            <w:r w:rsidRPr="00627065">
              <w:rPr>
                <w:sz w:val="20"/>
                <w:szCs w:val="20"/>
              </w:rPr>
              <w:t>1 </w:t>
            </w:r>
          </w:p>
        </w:tc>
      </w:tr>
    </w:tbl>
    <w:p w14:paraId="7F0BF669" w14:textId="77777777" w:rsidR="00092595" w:rsidRPr="00341FA0" w:rsidRDefault="00092595" w:rsidP="00341FA0">
      <w:pPr>
        <w:ind w:left="180"/>
        <w:rPr>
          <w:rStyle w:val="normaltextrun"/>
          <w:bCs/>
          <w:i/>
          <w:iCs/>
          <w:sz w:val="20"/>
          <w:szCs w:val="20"/>
        </w:rPr>
      </w:pPr>
      <w:r w:rsidRPr="00341FA0">
        <w:rPr>
          <w:rStyle w:val="normaltextrun"/>
          <w:bCs/>
          <w:i/>
          <w:iCs/>
          <w:sz w:val="20"/>
          <w:szCs w:val="20"/>
        </w:rPr>
        <w:t>*14 of the 17 complaints resolved at the SHRC level were reviewed by the SHRC Appeals Subcommittee per a variance allowing alternative procedures for addressing complaints by individuals in maximum security at CSH and residents of VCBR, when the individual is not satisfied with the director’s response.</w:t>
      </w:r>
    </w:p>
    <w:p w14:paraId="08F90F69" w14:textId="77777777" w:rsidR="00092595" w:rsidRPr="00627065" w:rsidRDefault="00092595" w:rsidP="00F46923"/>
    <w:sectPr w:rsidR="00092595" w:rsidRPr="00627065" w:rsidSect="00534E96">
      <w:headerReference w:type="default" r:id="rId23"/>
      <w:type w:val="continuous"/>
      <w:pgSz w:w="12240" w:h="15840" w:code="1"/>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78F6" w14:textId="77777777" w:rsidR="004F171F" w:rsidRDefault="004F171F">
      <w:r>
        <w:separator/>
      </w:r>
    </w:p>
  </w:endnote>
  <w:endnote w:type="continuationSeparator" w:id="0">
    <w:p w14:paraId="7B10CAEE" w14:textId="77777777" w:rsidR="004F171F" w:rsidRDefault="004F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Estrangelo Edessa">
    <w:panose1 w:val="00000000000000000000"/>
    <w:charset w:val="01"/>
    <w:family w:val="roman"/>
    <w:notTrueType/>
    <w:pitch w:val="variable"/>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FEAF" w14:textId="77777777" w:rsidR="00CD1D20" w:rsidRDefault="00CD1D20" w:rsidP="00CF0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04422" w14:textId="77777777" w:rsidR="00CD1D20" w:rsidRDefault="00CD1D20" w:rsidP="00CF0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8A27" w14:textId="77777777" w:rsidR="00CD1D20" w:rsidRPr="00B9371C" w:rsidRDefault="00CD1D20" w:rsidP="00571333">
    <w:pPr>
      <w:jc w:val="center"/>
      <w:outlineLvl w:val="0"/>
      <w:rPr>
        <w:rFonts w:ascii="Calibri" w:hAnsi="Calibri" w:cs="Tahoma"/>
        <w:b/>
        <w:smallCaps/>
        <w:color w:val="003366"/>
        <w:sz w:val="16"/>
        <w:szCs w:val="16"/>
      </w:rPr>
    </w:pPr>
    <w:r w:rsidRPr="00B9371C">
      <w:rPr>
        <w:rFonts w:ascii="Calibri" w:hAnsi="Calibri" w:cs="Tahoma"/>
        <w:b/>
        <w:smallCaps/>
        <w:color w:val="003366"/>
        <w:sz w:val="16"/>
        <w:szCs w:val="16"/>
      </w:rPr>
      <w:t>1220 Bank Street • P.O. Box 1797 • Richmond, Virginia 23218-1797</w:t>
    </w:r>
  </w:p>
  <w:p w14:paraId="4BEED116" w14:textId="77777777" w:rsidR="00CD1D20" w:rsidRPr="00B9371C" w:rsidRDefault="00CD1D20" w:rsidP="00571333">
    <w:pPr>
      <w:jc w:val="center"/>
      <w:rPr>
        <w:rFonts w:ascii="Calibri" w:hAnsi="Calibri" w:cs="Estrangelo Edessa"/>
        <w:b/>
        <w:smallCaps/>
        <w:color w:val="003366"/>
        <w:sz w:val="16"/>
        <w:szCs w:val="16"/>
      </w:rPr>
    </w:pPr>
    <w:r w:rsidRPr="00B9371C">
      <w:rPr>
        <w:rFonts w:ascii="Calibri" w:hAnsi="Calibri"/>
        <w:b/>
        <w:smallCaps/>
        <w:color w:val="003366"/>
        <w:sz w:val="16"/>
        <w:szCs w:val="16"/>
      </w:rPr>
      <w:t xml:space="preserve">Phone: (804) 786-3921 • Fax: (804) 371-6638 • Web site: </w:t>
    </w:r>
    <w:hyperlink r:id="rId1" w:history="1">
      <w:r w:rsidRPr="00B9371C">
        <w:rPr>
          <w:rStyle w:val="Hyperlink"/>
          <w:rFonts w:ascii="Calibri" w:hAnsi="Calibri"/>
          <w:b/>
          <w:smallCaps/>
          <w:color w:val="003366"/>
          <w:sz w:val="16"/>
          <w:szCs w:val="16"/>
        </w:rPr>
        <w:t>www.dbhds.virginia.gov</w:t>
      </w:r>
    </w:hyperlink>
  </w:p>
  <w:p w14:paraId="23D80772" w14:textId="77777777" w:rsidR="00CD1D20" w:rsidRDefault="00CD1D20" w:rsidP="00571333">
    <w:pPr>
      <w:pStyle w:val="Footer"/>
      <w:jc w:val="center"/>
    </w:pPr>
  </w:p>
  <w:p w14:paraId="31A25AB6" w14:textId="77777777" w:rsidR="00CD1D20" w:rsidRDefault="00CD1D20" w:rsidP="00CF0C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BF6" w14:textId="77777777" w:rsidR="00CD1D20" w:rsidRDefault="00CD1D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D792" w14:textId="77777777" w:rsidR="00CD1D20" w:rsidRDefault="00CD1D20">
    <w:pPr>
      <w:pStyle w:val="Footer"/>
      <w:jc w:val="center"/>
    </w:pPr>
    <w:r>
      <w:t>i</w:t>
    </w:r>
  </w:p>
  <w:p w14:paraId="6EAAC790" w14:textId="77777777" w:rsidR="00CD1D20" w:rsidRDefault="00CD1D20" w:rsidP="00B55ADA">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740104114"/>
      <w:docPartObj>
        <w:docPartGallery w:val="Page Numbers (Bottom of Page)"/>
        <w:docPartUnique/>
      </w:docPartObj>
    </w:sdtPr>
    <w:sdtEndPr>
      <w:rPr>
        <w:noProof/>
      </w:rPr>
    </w:sdtEndPr>
    <w:sdtContent>
      <w:p w14:paraId="76C02CCC" w14:textId="0400D2FB" w:rsidR="00CD1D20" w:rsidRPr="00696562" w:rsidRDefault="00CD1D20">
        <w:pPr>
          <w:pStyle w:val="Footer"/>
          <w:jc w:val="center"/>
          <w:rPr>
            <w:sz w:val="22"/>
            <w:szCs w:val="22"/>
          </w:rPr>
        </w:pPr>
        <w:r w:rsidRPr="00696562">
          <w:rPr>
            <w:sz w:val="22"/>
            <w:szCs w:val="22"/>
          </w:rPr>
          <w:t xml:space="preserve">Page </w:t>
        </w:r>
        <w:r w:rsidRPr="00696562">
          <w:rPr>
            <w:sz w:val="22"/>
            <w:szCs w:val="22"/>
          </w:rPr>
          <w:fldChar w:fldCharType="begin"/>
        </w:r>
        <w:r w:rsidRPr="00696562">
          <w:rPr>
            <w:sz w:val="22"/>
            <w:szCs w:val="22"/>
          </w:rPr>
          <w:instrText xml:space="preserve"> PAGE   \* MERGEFORMAT </w:instrText>
        </w:r>
        <w:r w:rsidRPr="00696562">
          <w:rPr>
            <w:sz w:val="22"/>
            <w:szCs w:val="22"/>
          </w:rPr>
          <w:fldChar w:fldCharType="separate"/>
        </w:r>
        <w:r w:rsidR="00AA66B7">
          <w:rPr>
            <w:noProof/>
            <w:sz w:val="22"/>
            <w:szCs w:val="22"/>
          </w:rPr>
          <w:t>22</w:t>
        </w:r>
        <w:r w:rsidRPr="00696562">
          <w:rPr>
            <w:noProof/>
            <w:sz w:val="22"/>
            <w:szCs w:val="22"/>
          </w:rPr>
          <w:fldChar w:fldCharType="end"/>
        </w:r>
      </w:p>
    </w:sdtContent>
  </w:sdt>
  <w:p w14:paraId="45839761" w14:textId="77777777" w:rsidR="00CD1D20" w:rsidRDefault="00CD1D20" w:rsidP="00B55ADA">
    <w:pPr>
      <w:pStyle w:val="Footer"/>
      <w:jc w:val="right"/>
    </w:pPr>
  </w:p>
  <w:p w14:paraId="3FDF880E" w14:textId="77777777" w:rsidR="00CD1D20" w:rsidRDefault="00CD1D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09A4" w14:textId="77777777" w:rsidR="004F171F" w:rsidRDefault="004F171F">
      <w:r>
        <w:separator/>
      </w:r>
    </w:p>
  </w:footnote>
  <w:footnote w:type="continuationSeparator" w:id="0">
    <w:p w14:paraId="2A4F7D3F" w14:textId="77777777" w:rsidR="004F171F" w:rsidRDefault="004F1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29AA" w14:textId="77777777" w:rsidR="00CD1D20" w:rsidRDefault="00CD1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DE2E" w14:textId="77777777" w:rsidR="00CD1D20" w:rsidRDefault="00CD1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918E" w14:textId="77777777" w:rsidR="00CD1D20" w:rsidRDefault="00CD1D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62F0" w14:textId="77777777" w:rsidR="00CD1D20" w:rsidRDefault="00CD1D20" w:rsidP="00236C17">
    <w:pPr>
      <w:pStyle w:val="Header"/>
      <w:jc w:val="center"/>
      <w:rPr>
        <w:b/>
        <w:sz w:val="40"/>
        <w:szCs w:val="40"/>
      </w:rPr>
    </w:pPr>
    <w:r>
      <w:rPr>
        <w:b/>
        <w:sz w:val="40"/>
        <w:szCs w:val="40"/>
      </w:rPr>
      <w:t>DBHDS Fiscal Year 2020</w:t>
    </w:r>
    <w:r w:rsidRPr="00667F73">
      <w:rPr>
        <w:b/>
        <w:sz w:val="40"/>
        <w:szCs w:val="40"/>
      </w:rPr>
      <w:t xml:space="preserve"> Annual Report</w:t>
    </w:r>
  </w:p>
  <w:p w14:paraId="20EF8182" w14:textId="77777777" w:rsidR="00CD1D20" w:rsidRPr="00667F73" w:rsidRDefault="00CD1D20" w:rsidP="00236C17">
    <w:pPr>
      <w:pStyle w:val="Heade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967F" w14:textId="77777777" w:rsidR="00CD1D20" w:rsidRPr="00667F73" w:rsidRDefault="00CD1D20" w:rsidP="000C5A75">
    <w:pPr>
      <w:pStyle w:val="Header"/>
      <w:jc w:val="center"/>
      <w:rPr>
        <w:b/>
      </w:rPr>
    </w:pPr>
  </w:p>
  <w:p w14:paraId="6176348C" w14:textId="77777777" w:rsidR="00CD1D20" w:rsidRDefault="00CD1D2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79A8" w14:textId="77777777" w:rsidR="00CD1D20" w:rsidRPr="003B2541" w:rsidRDefault="00CD1D20" w:rsidP="003B2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205"/>
    <w:multiLevelType w:val="hybridMultilevel"/>
    <w:tmpl w:val="DF44CF20"/>
    <w:lvl w:ilvl="0" w:tplc="474EE432">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35B3B"/>
    <w:multiLevelType w:val="hybridMultilevel"/>
    <w:tmpl w:val="3E86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229A4"/>
    <w:multiLevelType w:val="hybridMultilevel"/>
    <w:tmpl w:val="8098D874"/>
    <w:lvl w:ilvl="0" w:tplc="04090001">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4D17E6"/>
    <w:multiLevelType w:val="hybridMultilevel"/>
    <w:tmpl w:val="F648E0B0"/>
    <w:lvl w:ilvl="0" w:tplc="7E2018A6">
      <w:start w:val="1"/>
      <w:numFmt w:val="bullet"/>
      <w:lvlText w:val="o"/>
      <w:lvlJc w:val="left"/>
      <w:pPr>
        <w:ind w:left="720" w:hanging="360"/>
      </w:pPr>
      <w:rPr>
        <w:rFonts w:ascii="Courier New" w:hAnsi="Courier New"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AB0B5D"/>
    <w:multiLevelType w:val="hybridMultilevel"/>
    <w:tmpl w:val="B736333C"/>
    <w:lvl w:ilvl="0" w:tplc="474EE432">
      <w:start w:val="1"/>
      <w:numFmt w:val="bullet"/>
      <w:lvlText w:val="•"/>
      <w:lvlJc w:val="left"/>
      <w:pPr>
        <w:ind w:left="720" w:hanging="360"/>
      </w:pPr>
      <w:rPr>
        <w:rFonts w:ascii="Arial" w:hAnsi="Aria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A4179"/>
    <w:multiLevelType w:val="hybridMultilevel"/>
    <w:tmpl w:val="1C600BB8"/>
    <w:lvl w:ilvl="0" w:tplc="474EE432">
      <w:start w:val="1"/>
      <w:numFmt w:val="bullet"/>
      <w:lvlText w:val="•"/>
      <w:lvlJc w:val="left"/>
      <w:pPr>
        <w:ind w:left="720" w:hanging="360"/>
      </w:pPr>
      <w:rPr>
        <w:rFonts w:ascii="Arial" w:hAnsi="Aria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7C1E4E"/>
    <w:multiLevelType w:val="hybridMultilevel"/>
    <w:tmpl w:val="B620780E"/>
    <w:lvl w:ilvl="0" w:tplc="474EE432">
      <w:start w:val="1"/>
      <w:numFmt w:val="bullet"/>
      <w:lvlText w:val="•"/>
      <w:lvlJc w:val="left"/>
      <w:pPr>
        <w:ind w:left="1080" w:hanging="360"/>
      </w:pPr>
      <w:rPr>
        <w:rFonts w:ascii="Arial" w:hAnsi="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B5401"/>
    <w:multiLevelType w:val="hybridMultilevel"/>
    <w:tmpl w:val="D7FC86A0"/>
    <w:lvl w:ilvl="0" w:tplc="474EE432">
      <w:start w:val="1"/>
      <w:numFmt w:val="bullet"/>
      <w:lvlText w:val="•"/>
      <w:lvlJc w:val="left"/>
      <w:pPr>
        <w:ind w:left="720" w:hanging="360"/>
      </w:pPr>
      <w:rPr>
        <w:rFonts w:ascii="Arial" w:hAnsi="Aria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9A4332"/>
    <w:multiLevelType w:val="hybridMultilevel"/>
    <w:tmpl w:val="09125366"/>
    <w:lvl w:ilvl="0" w:tplc="FFFFFFFF">
      <w:start w:val="1"/>
      <w:numFmt w:val="bullet"/>
      <w:lvlText w:val="•"/>
      <w:lvlJc w:val="left"/>
      <w:pPr>
        <w:ind w:left="720" w:hanging="360"/>
      </w:pPr>
      <w:rPr>
        <w:rFonts w:ascii="Arial" w:hAnsi="Arial" w:hint="default"/>
        <w:sz w:val="28"/>
      </w:rPr>
    </w:lvl>
    <w:lvl w:ilvl="1" w:tplc="FFFFFFFF">
      <w:start w:val="1"/>
      <w:numFmt w:val="bullet"/>
      <w:lvlText w:val="o"/>
      <w:lvlJc w:val="left"/>
      <w:pPr>
        <w:ind w:left="1440" w:hanging="360"/>
      </w:pPr>
      <w:rPr>
        <w:rFonts w:ascii="Courier New" w:hAnsi="Courier New" w:hint="default"/>
        <w:sz w:val="20"/>
      </w:rPr>
    </w:lvl>
    <w:lvl w:ilvl="2" w:tplc="7E2018A6">
      <w:start w:val="1"/>
      <w:numFmt w:val="bullet"/>
      <w:lvlText w:val="o"/>
      <w:lvlJc w:val="left"/>
      <w:pPr>
        <w:ind w:left="720" w:hanging="360"/>
      </w:pPr>
      <w:rPr>
        <w:rFonts w:ascii="Courier New" w:hAnsi="Courier New" w:hint="default"/>
        <w:sz w:val="20"/>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6C66D2D"/>
    <w:multiLevelType w:val="multilevel"/>
    <w:tmpl w:val="5D7A835A"/>
    <w:lvl w:ilvl="0">
      <w:start w:val="1"/>
      <w:numFmt w:val="bullet"/>
      <w:lvlText w:val="•"/>
      <w:lvlJc w:val="left"/>
      <w:pPr>
        <w:tabs>
          <w:tab w:val="num" w:pos="720"/>
        </w:tabs>
        <w:ind w:left="720" w:hanging="360"/>
      </w:pPr>
      <w:rPr>
        <w:rFonts w:ascii="Arial" w:hAnsi="Aria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E2166"/>
    <w:multiLevelType w:val="hybridMultilevel"/>
    <w:tmpl w:val="0F7A15AA"/>
    <w:lvl w:ilvl="0" w:tplc="7E2018A6">
      <w:start w:val="1"/>
      <w:numFmt w:val="bullet"/>
      <w:lvlText w:val="o"/>
      <w:lvlJc w:val="left"/>
      <w:pPr>
        <w:ind w:left="1440" w:hanging="360"/>
      </w:pPr>
      <w:rPr>
        <w:rFonts w:ascii="Courier New" w:hAnsi="Courier New" w:hint="default"/>
        <w:sz w:val="2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o"/>
      <w:lvlJc w:val="left"/>
      <w:pPr>
        <w:ind w:left="3600" w:hanging="360"/>
      </w:pPr>
      <w:rPr>
        <w:rFonts w:ascii="Courier New" w:hAnsi="Courier New" w:cs="Courier New"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74B4C98"/>
    <w:multiLevelType w:val="hybridMultilevel"/>
    <w:tmpl w:val="4EB29646"/>
    <w:lvl w:ilvl="0" w:tplc="474EE432">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50E93"/>
    <w:multiLevelType w:val="hybridMultilevel"/>
    <w:tmpl w:val="8020A9D4"/>
    <w:lvl w:ilvl="0" w:tplc="474EE432">
      <w:start w:val="1"/>
      <w:numFmt w:val="bullet"/>
      <w:lvlText w:val="•"/>
      <w:lvlJc w:val="left"/>
      <w:pPr>
        <w:ind w:left="720" w:hanging="360"/>
      </w:pPr>
      <w:rPr>
        <w:rFonts w:ascii="Arial" w:hAnsi="Arial" w:hint="default"/>
        <w:sz w:val="28"/>
      </w:rPr>
    </w:lvl>
    <w:lvl w:ilvl="1" w:tplc="8E0E4720">
      <w:start w:val="1"/>
      <w:numFmt w:val="bullet"/>
      <w:lvlText w:val="o"/>
      <w:lvlJc w:val="left"/>
      <w:pPr>
        <w:ind w:left="1440" w:hanging="360"/>
      </w:pPr>
      <w:rPr>
        <w:rFonts w:ascii="Courier New" w:hAnsi="Courier New" w:hint="default"/>
      </w:rPr>
    </w:lvl>
    <w:lvl w:ilvl="2" w:tplc="FACACA16">
      <w:start w:val="1"/>
      <w:numFmt w:val="bullet"/>
      <w:lvlText w:val=""/>
      <w:lvlJc w:val="left"/>
      <w:pPr>
        <w:ind w:left="2160" w:hanging="360"/>
      </w:pPr>
      <w:rPr>
        <w:rFonts w:ascii="Wingdings" w:hAnsi="Wingdings" w:hint="default"/>
      </w:rPr>
    </w:lvl>
    <w:lvl w:ilvl="3" w:tplc="5E2E816A">
      <w:start w:val="1"/>
      <w:numFmt w:val="bullet"/>
      <w:lvlText w:val=""/>
      <w:lvlJc w:val="left"/>
      <w:pPr>
        <w:ind w:left="2880" w:hanging="360"/>
      </w:pPr>
      <w:rPr>
        <w:rFonts w:ascii="Symbol" w:hAnsi="Symbol" w:hint="default"/>
      </w:rPr>
    </w:lvl>
    <w:lvl w:ilvl="4" w:tplc="44AE59AA">
      <w:start w:val="1"/>
      <w:numFmt w:val="bullet"/>
      <w:lvlText w:val="o"/>
      <w:lvlJc w:val="left"/>
      <w:pPr>
        <w:ind w:left="3600" w:hanging="360"/>
      </w:pPr>
      <w:rPr>
        <w:rFonts w:ascii="Courier New" w:hAnsi="Courier New" w:hint="default"/>
      </w:rPr>
    </w:lvl>
    <w:lvl w:ilvl="5" w:tplc="2A324F0C">
      <w:start w:val="1"/>
      <w:numFmt w:val="bullet"/>
      <w:lvlText w:val=""/>
      <w:lvlJc w:val="left"/>
      <w:pPr>
        <w:ind w:left="4320" w:hanging="360"/>
      </w:pPr>
      <w:rPr>
        <w:rFonts w:ascii="Wingdings" w:hAnsi="Wingdings" w:hint="default"/>
      </w:rPr>
    </w:lvl>
    <w:lvl w:ilvl="6" w:tplc="E242A8A0">
      <w:start w:val="1"/>
      <w:numFmt w:val="bullet"/>
      <w:lvlText w:val=""/>
      <w:lvlJc w:val="left"/>
      <w:pPr>
        <w:ind w:left="5040" w:hanging="360"/>
      </w:pPr>
      <w:rPr>
        <w:rFonts w:ascii="Symbol" w:hAnsi="Symbol" w:hint="default"/>
      </w:rPr>
    </w:lvl>
    <w:lvl w:ilvl="7" w:tplc="A264423E">
      <w:start w:val="1"/>
      <w:numFmt w:val="bullet"/>
      <w:lvlText w:val="o"/>
      <w:lvlJc w:val="left"/>
      <w:pPr>
        <w:ind w:left="5760" w:hanging="360"/>
      </w:pPr>
      <w:rPr>
        <w:rFonts w:ascii="Courier New" w:hAnsi="Courier New" w:hint="default"/>
      </w:rPr>
    </w:lvl>
    <w:lvl w:ilvl="8" w:tplc="BBFAF138">
      <w:start w:val="1"/>
      <w:numFmt w:val="bullet"/>
      <w:lvlText w:val=""/>
      <w:lvlJc w:val="left"/>
      <w:pPr>
        <w:ind w:left="6480" w:hanging="360"/>
      </w:pPr>
      <w:rPr>
        <w:rFonts w:ascii="Wingdings" w:hAnsi="Wingdings" w:hint="default"/>
      </w:rPr>
    </w:lvl>
  </w:abstractNum>
  <w:abstractNum w:abstractNumId="13" w15:restartNumberingAfterBreak="0">
    <w:nsid w:val="1A706363"/>
    <w:multiLevelType w:val="hybridMultilevel"/>
    <w:tmpl w:val="110E8C4A"/>
    <w:lvl w:ilvl="0" w:tplc="4C26DC7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61DE6"/>
    <w:multiLevelType w:val="hybridMultilevel"/>
    <w:tmpl w:val="6C3CDC8A"/>
    <w:lvl w:ilvl="0" w:tplc="FFFFFFFF">
      <w:start w:val="1"/>
      <w:numFmt w:val="bullet"/>
      <w:lvlText w:val="•"/>
      <w:lvlJc w:val="left"/>
      <w:pPr>
        <w:ind w:left="720" w:hanging="360"/>
      </w:pPr>
      <w:rPr>
        <w:rFonts w:ascii="Arial" w:hAnsi="Arial" w:hint="default"/>
        <w:sz w:val="28"/>
      </w:rPr>
    </w:lvl>
    <w:lvl w:ilvl="1" w:tplc="7E2018A6">
      <w:start w:val="1"/>
      <w:numFmt w:val="bullet"/>
      <w:lvlText w:val="o"/>
      <w:lvlJc w:val="left"/>
      <w:pPr>
        <w:ind w:left="1440" w:hanging="360"/>
      </w:pPr>
      <w:rPr>
        <w:rFonts w:ascii="Courier New" w:hAnsi="Courier New" w:hint="default"/>
        <w:sz w:val="2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1F3C6843"/>
    <w:multiLevelType w:val="hybridMultilevel"/>
    <w:tmpl w:val="2A0C5614"/>
    <w:lvl w:ilvl="0" w:tplc="91169E50">
      <w:start w:val="1"/>
      <w:numFmt w:val="upperRoman"/>
      <w:pStyle w:val="TOC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697131"/>
    <w:multiLevelType w:val="hybridMultilevel"/>
    <w:tmpl w:val="6D12AED8"/>
    <w:lvl w:ilvl="0" w:tplc="FFFFFFFF">
      <w:start w:val="1"/>
      <w:numFmt w:val="bullet"/>
      <w:lvlText w:val=""/>
      <w:lvlJc w:val="left"/>
      <w:pPr>
        <w:ind w:left="720" w:hanging="360"/>
      </w:pPr>
      <w:rPr>
        <w:rFonts w:ascii="Symbol" w:hAnsi="Symbol" w:hint="default"/>
        <w:sz w:val="20"/>
      </w:rPr>
    </w:lvl>
    <w:lvl w:ilvl="1" w:tplc="7E2018A6">
      <w:start w:val="1"/>
      <w:numFmt w:val="bullet"/>
      <w:lvlText w:val="o"/>
      <w:lvlJc w:val="left"/>
      <w:pPr>
        <w:ind w:left="2160" w:hanging="360"/>
      </w:pPr>
      <w:rPr>
        <w:rFonts w:ascii="Courier New" w:hAnsi="Courier New" w:hint="default"/>
        <w:sz w:val="2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F86BF8"/>
    <w:multiLevelType w:val="hybridMultilevel"/>
    <w:tmpl w:val="EDCA1094"/>
    <w:lvl w:ilvl="0" w:tplc="474EE432">
      <w:start w:val="1"/>
      <w:numFmt w:val="bullet"/>
      <w:lvlText w:val="•"/>
      <w:lvlJc w:val="left"/>
      <w:pPr>
        <w:ind w:left="720" w:hanging="360"/>
      </w:pPr>
      <w:rPr>
        <w:rFonts w:ascii="Arial" w:hAnsi="Arial" w:hint="default"/>
        <w:sz w:val="28"/>
      </w:rPr>
    </w:lvl>
    <w:lvl w:ilvl="1" w:tplc="474EE432">
      <w:start w:val="1"/>
      <w:numFmt w:val="bullet"/>
      <w:lvlText w:val="•"/>
      <w:lvlJc w:val="left"/>
      <w:pPr>
        <w:ind w:left="1440" w:hanging="360"/>
      </w:pPr>
      <w:rPr>
        <w:rFonts w:ascii="Arial" w:hAnsi="Arial" w:hint="default"/>
        <w:sz w:val="28"/>
      </w:rPr>
    </w:lvl>
    <w:lvl w:ilvl="2" w:tplc="61822120">
      <w:start w:val="1"/>
      <w:numFmt w:val="bullet"/>
      <w:lvlText w:val=""/>
      <w:lvlJc w:val="left"/>
      <w:pPr>
        <w:ind w:left="2160" w:hanging="360"/>
      </w:pPr>
      <w:rPr>
        <w:rFonts w:ascii="Wingdings" w:hAnsi="Wingdings" w:hint="default"/>
      </w:rPr>
    </w:lvl>
    <w:lvl w:ilvl="3" w:tplc="4D4246D6">
      <w:start w:val="1"/>
      <w:numFmt w:val="bullet"/>
      <w:lvlText w:val=""/>
      <w:lvlJc w:val="left"/>
      <w:pPr>
        <w:ind w:left="2880" w:hanging="360"/>
      </w:pPr>
      <w:rPr>
        <w:rFonts w:ascii="Symbol" w:hAnsi="Symbol" w:hint="default"/>
      </w:rPr>
    </w:lvl>
    <w:lvl w:ilvl="4" w:tplc="E54A0A1C">
      <w:start w:val="1"/>
      <w:numFmt w:val="bullet"/>
      <w:lvlText w:val="o"/>
      <w:lvlJc w:val="left"/>
      <w:pPr>
        <w:ind w:left="3600" w:hanging="360"/>
      </w:pPr>
      <w:rPr>
        <w:rFonts w:ascii="Courier New" w:hAnsi="Courier New" w:hint="default"/>
      </w:rPr>
    </w:lvl>
    <w:lvl w:ilvl="5" w:tplc="132E3856">
      <w:start w:val="1"/>
      <w:numFmt w:val="bullet"/>
      <w:lvlText w:val=""/>
      <w:lvlJc w:val="left"/>
      <w:pPr>
        <w:ind w:left="4320" w:hanging="360"/>
      </w:pPr>
      <w:rPr>
        <w:rFonts w:ascii="Wingdings" w:hAnsi="Wingdings" w:hint="default"/>
      </w:rPr>
    </w:lvl>
    <w:lvl w:ilvl="6" w:tplc="BE2E7072">
      <w:start w:val="1"/>
      <w:numFmt w:val="bullet"/>
      <w:lvlText w:val=""/>
      <w:lvlJc w:val="left"/>
      <w:pPr>
        <w:ind w:left="5040" w:hanging="360"/>
      </w:pPr>
      <w:rPr>
        <w:rFonts w:ascii="Symbol" w:hAnsi="Symbol" w:hint="default"/>
      </w:rPr>
    </w:lvl>
    <w:lvl w:ilvl="7" w:tplc="2DF46EFC">
      <w:start w:val="1"/>
      <w:numFmt w:val="bullet"/>
      <w:lvlText w:val="o"/>
      <w:lvlJc w:val="left"/>
      <w:pPr>
        <w:ind w:left="5760" w:hanging="360"/>
      </w:pPr>
      <w:rPr>
        <w:rFonts w:ascii="Courier New" w:hAnsi="Courier New" w:hint="default"/>
      </w:rPr>
    </w:lvl>
    <w:lvl w:ilvl="8" w:tplc="1A30ED82">
      <w:start w:val="1"/>
      <w:numFmt w:val="bullet"/>
      <w:lvlText w:val=""/>
      <w:lvlJc w:val="left"/>
      <w:pPr>
        <w:ind w:left="6480" w:hanging="360"/>
      </w:pPr>
      <w:rPr>
        <w:rFonts w:ascii="Wingdings" w:hAnsi="Wingdings" w:hint="default"/>
      </w:rPr>
    </w:lvl>
  </w:abstractNum>
  <w:abstractNum w:abstractNumId="18" w15:restartNumberingAfterBreak="0">
    <w:nsid w:val="27B74663"/>
    <w:multiLevelType w:val="hybridMultilevel"/>
    <w:tmpl w:val="E850C250"/>
    <w:lvl w:ilvl="0" w:tplc="FDC29DCC">
      <w:start w:val="1"/>
      <w:numFmt w:val="decimal"/>
      <w:lvlText w:val="%1."/>
      <w:lvlJc w:val="left"/>
      <w:pPr>
        <w:tabs>
          <w:tab w:val="num" w:pos="720"/>
        </w:tabs>
        <w:ind w:left="720" w:hanging="360"/>
      </w:pPr>
    </w:lvl>
    <w:lvl w:ilvl="1" w:tplc="48F0933A" w:tentative="1">
      <w:start w:val="1"/>
      <w:numFmt w:val="decimal"/>
      <w:lvlText w:val="%2."/>
      <w:lvlJc w:val="left"/>
      <w:pPr>
        <w:tabs>
          <w:tab w:val="num" w:pos="1440"/>
        </w:tabs>
        <w:ind w:left="1440" w:hanging="360"/>
      </w:pPr>
    </w:lvl>
    <w:lvl w:ilvl="2" w:tplc="8EB63FE0" w:tentative="1">
      <w:start w:val="1"/>
      <w:numFmt w:val="decimal"/>
      <w:lvlText w:val="%3."/>
      <w:lvlJc w:val="left"/>
      <w:pPr>
        <w:tabs>
          <w:tab w:val="num" w:pos="2160"/>
        </w:tabs>
        <w:ind w:left="2160" w:hanging="360"/>
      </w:pPr>
    </w:lvl>
    <w:lvl w:ilvl="3" w:tplc="C846AFFC" w:tentative="1">
      <w:start w:val="1"/>
      <w:numFmt w:val="decimal"/>
      <w:lvlText w:val="%4."/>
      <w:lvlJc w:val="left"/>
      <w:pPr>
        <w:tabs>
          <w:tab w:val="num" w:pos="2880"/>
        </w:tabs>
        <w:ind w:left="2880" w:hanging="360"/>
      </w:pPr>
    </w:lvl>
    <w:lvl w:ilvl="4" w:tplc="C77A0EDA" w:tentative="1">
      <w:start w:val="1"/>
      <w:numFmt w:val="decimal"/>
      <w:lvlText w:val="%5."/>
      <w:lvlJc w:val="left"/>
      <w:pPr>
        <w:tabs>
          <w:tab w:val="num" w:pos="3600"/>
        </w:tabs>
        <w:ind w:left="3600" w:hanging="360"/>
      </w:pPr>
    </w:lvl>
    <w:lvl w:ilvl="5" w:tplc="48520762" w:tentative="1">
      <w:start w:val="1"/>
      <w:numFmt w:val="decimal"/>
      <w:lvlText w:val="%6."/>
      <w:lvlJc w:val="left"/>
      <w:pPr>
        <w:tabs>
          <w:tab w:val="num" w:pos="4320"/>
        </w:tabs>
        <w:ind w:left="4320" w:hanging="360"/>
      </w:pPr>
    </w:lvl>
    <w:lvl w:ilvl="6" w:tplc="A3E4D120" w:tentative="1">
      <w:start w:val="1"/>
      <w:numFmt w:val="decimal"/>
      <w:lvlText w:val="%7."/>
      <w:lvlJc w:val="left"/>
      <w:pPr>
        <w:tabs>
          <w:tab w:val="num" w:pos="5040"/>
        </w:tabs>
        <w:ind w:left="5040" w:hanging="360"/>
      </w:pPr>
    </w:lvl>
    <w:lvl w:ilvl="7" w:tplc="304EA338" w:tentative="1">
      <w:start w:val="1"/>
      <w:numFmt w:val="decimal"/>
      <w:lvlText w:val="%8."/>
      <w:lvlJc w:val="left"/>
      <w:pPr>
        <w:tabs>
          <w:tab w:val="num" w:pos="5760"/>
        </w:tabs>
        <w:ind w:left="5760" w:hanging="360"/>
      </w:pPr>
    </w:lvl>
    <w:lvl w:ilvl="8" w:tplc="1506EE0A" w:tentative="1">
      <w:start w:val="1"/>
      <w:numFmt w:val="decimal"/>
      <w:lvlText w:val="%9."/>
      <w:lvlJc w:val="left"/>
      <w:pPr>
        <w:tabs>
          <w:tab w:val="num" w:pos="6480"/>
        </w:tabs>
        <w:ind w:left="6480" w:hanging="360"/>
      </w:pPr>
    </w:lvl>
  </w:abstractNum>
  <w:abstractNum w:abstractNumId="19" w15:restartNumberingAfterBreak="0">
    <w:nsid w:val="28212C02"/>
    <w:multiLevelType w:val="hybridMultilevel"/>
    <w:tmpl w:val="1458DC8A"/>
    <w:lvl w:ilvl="0" w:tplc="474EE432">
      <w:start w:val="1"/>
      <w:numFmt w:val="bullet"/>
      <w:lvlText w:val="•"/>
      <w:lvlJc w:val="left"/>
      <w:pPr>
        <w:ind w:left="1440" w:hanging="360"/>
      </w:pPr>
      <w:rPr>
        <w:rFonts w:ascii="Arial" w:hAnsi="Aria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5D2E2D"/>
    <w:multiLevelType w:val="hybridMultilevel"/>
    <w:tmpl w:val="AA0E4FCA"/>
    <w:lvl w:ilvl="0" w:tplc="474EE432">
      <w:start w:val="1"/>
      <w:numFmt w:val="bullet"/>
      <w:lvlText w:val="•"/>
      <w:lvlJc w:val="left"/>
      <w:pPr>
        <w:ind w:left="720" w:hanging="360"/>
      </w:pPr>
      <w:rPr>
        <w:rFonts w:ascii="Arial" w:hAnsi="Arial" w:hint="default"/>
        <w:sz w:val="28"/>
      </w:rPr>
    </w:lvl>
    <w:lvl w:ilvl="1" w:tplc="78FAAFF6">
      <w:start w:val="1"/>
      <w:numFmt w:val="bullet"/>
      <w:lvlText w:val="o"/>
      <w:lvlJc w:val="left"/>
      <w:pPr>
        <w:ind w:left="1440" w:hanging="360"/>
      </w:pPr>
      <w:rPr>
        <w:rFonts w:ascii="Courier New" w:hAnsi="Courier New" w:hint="default"/>
      </w:rPr>
    </w:lvl>
    <w:lvl w:ilvl="2" w:tplc="017E847A">
      <w:start w:val="1"/>
      <w:numFmt w:val="bullet"/>
      <w:lvlText w:val=""/>
      <w:lvlJc w:val="left"/>
      <w:pPr>
        <w:ind w:left="2160" w:hanging="360"/>
      </w:pPr>
      <w:rPr>
        <w:rFonts w:ascii="Wingdings" w:hAnsi="Wingdings" w:hint="default"/>
      </w:rPr>
    </w:lvl>
    <w:lvl w:ilvl="3" w:tplc="B0F8CE3E">
      <w:start w:val="1"/>
      <w:numFmt w:val="bullet"/>
      <w:lvlText w:val=""/>
      <w:lvlJc w:val="left"/>
      <w:pPr>
        <w:ind w:left="2880" w:hanging="360"/>
      </w:pPr>
      <w:rPr>
        <w:rFonts w:ascii="Symbol" w:hAnsi="Symbol" w:hint="default"/>
      </w:rPr>
    </w:lvl>
    <w:lvl w:ilvl="4" w:tplc="C062EAC4">
      <w:start w:val="1"/>
      <w:numFmt w:val="bullet"/>
      <w:lvlText w:val="o"/>
      <w:lvlJc w:val="left"/>
      <w:pPr>
        <w:ind w:left="3600" w:hanging="360"/>
      </w:pPr>
      <w:rPr>
        <w:rFonts w:ascii="Courier New" w:hAnsi="Courier New" w:hint="default"/>
      </w:rPr>
    </w:lvl>
    <w:lvl w:ilvl="5" w:tplc="F802FBC6">
      <w:start w:val="1"/>
      <w:numFmt w:val="bullet"/>
      <w:lvlText w:val=""/>
      <w:lvlJc w:val="left"/>
      <w:pPr>
        <w:ind w:left="4320" w:hanging="360"/>
      </w:pPr>
      <w:rPr>
        <w:rFonts w:ascii="Wingdings" w:hAnsi="Wingdings" w:hint="default"/>
      </w:rPr>
    </w:lvl>
    <w:lvl w:ilvl="6" w:tplc="9C0E3D26">
      <w:start w:val="1"/>
      <w:numFmt w:val="bullet"/>
      <w:lvlText w:val=""/>
      <w:lvlJc w:val="left"/>
      <w:pPr>
        <w:ind w:left="5040" w:hanging="360"/>
      </w:pPr>
      <w:rPr>
        <w:rFonts w:ascii="Symbol" w:hAnsi="Symbol" w:hint="default"/>
      </w:rPr>
    </w:lvl>
    <w:lvl w:ilvl="7" w:tplc="4DB6BB86">
      <w:start w:val="1"/>
      <w:numFmt w:val="bullet"/>
      <w:lvlText w:val="o"/>
      <w:lvlJc w:val="left"/>
      <w:pPr>
        <w:ind w:left="5760" w:hanging="360"/>
      </w:pPr>
      <w:rPr>
        <w:rFonts w:ascii="Courier New" w:hAnsi="Courier New" w:hint="default"/>
      </w:rPr>
    </w:lvl>
    <w:lvl w:ilvl="8" w:tplc="ABAEA71E">
      <w:start w:val="1"/>
      <w:numFmt w:val="bullet"/>
      <w:lvlText w:val=""/>
      <w:lvlJc w:val="left"/>
      <w:pPr>
        <w:ind w:left="6480" w:hanging="360"/>
      </w:pPr>
      <w:rPr>
        <w:rFonts w:ascii="Wingdings" w:hAnsi="Wingdings" w:hint="default"/>
      </w:rPr>
    </w:lvl>
  </w:abstractNum>
  <w:abstractNum w:abstractNumId="21" w15:restartNumberingAfterBreak="0">
    <w:nsid w:val="293E67DD"/>
    <w:multiLevelType w:val="hybridMultilevel"/>
    <w:tmpl w:val="C194CDF8"/>
    <w:lvl w:ilvl="0" w:tplc="FFFFFFFF">
      <w:start w:val="1"/>
      <w:numFmt w:val="bullet"/>
      <w:lvlText w:val=""/>
      <w:lvlJc w:val="left"/>
      <w:pPr>
        <w:ind w:left="720" w:hanging="360"/>
      </w:pPr>
      <w:rPr>
        <w:rFonts w:ascii="Symbol" w:hAnsi="Symbol" w:hint="default"/>
        <w:sz w:val="20"/>
      </w:rPr>
    </w:lvl>
    <w:lvl w:ilvl="1" w:tplc="7E2018A6">
      <w:start w:val="1"/>
      <w:numFmt w:val="bullet"/>
      <w:lvlText w:val="o"/>
      <w:lvlJc w:val="left"/>
      <w:pPr>
        <w:ind w:left="2160" w:hanging="360"/>
      </w:pPr>
      <w:rPr>
        <w:rFonts w:ascii="Courier New" w:hAnsi="Courier New" w:hint="default"/>
        <w:sz w:val="2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D3335B5"/>
    <w:multiLevelType w:val="hybridMultilevel"/>
    <w:tmpl w:val="4A725DA4"/>
    <w:lvl w:ilvl="0" w:tplc="C52CA458">
      <w:start w:val="1"/>
      <w:numFmt w:val="bullet"/>
      <w:lvlText w:val=""/>
      <w:lvlJc w:val="left"/>
      <w:pPr>
        <w:ind w:left="720" w:hanging="360"/>
      </w:pPr>
      <w:rPr>
        <w:rFonts w:ascii="Symbol" w:hAnsi="Symbol" w:hint="default"/>
      </w:rPr>
    </w:lvl>
    <w:lvl w:ilvl="1" w:tplc="7E2018A6">
      <w:start w:val="1"/>
      <w:numFmt w:val="bullet"/>
      <w:lvlText w:val="o"/>
      <w:lvlJc w:val="left"/>
      <w:pPr>
        <w:ind w:left="1440" w:hanging="360"/>
      </w:pPr>
      <w:rPr>
        <w:rFonts w:ascii="Courier New" w:hAnsi="Courier New" w:hint="default"/>
        <w:sz w:val="20"/>
      </w:rPr>
    </w:lvl>
    <w:lvl w:ilvl="2" w:tplc="D1065FA6">
      <w:start w:val="1"/>
      <w:numFmt w:val="bullet"/>
      <w:lvlText w:val=""/>
      <w:lvlJc w:val="left"/>
      <w:pPr>
        <w:ind w:left="2160" w:hanging="360"/>
      </w:pPr>
      <w:rPr>
        <w:rFonts w:ascii="Wingdings" w:hAnsi="Wingdings" w:hint="default"/>
      </w:rPr>
    </w:lvl>
    <w:lvl w:ilvl="3" w:tplc="D064188E">
      <w:start w:val="1"/>
      <w:numFmt w:val="bullet"/>
      <w:lvlText w:val=""/>
      <w:lvlJc w:val="left"/>
      <w:pPr>
        <w:ind w:left="2880" w:hanging="360"/>
      </w:pPr>
      <w:rPr>
        <w:rFonts w:ascii="Symbol" w:hAnsi="Symbol" w:hint="default"/>
      </w:rPr>
    </w:lvl>
    <w:lvl w:ilvl="4" w:tplc="787485AA">
      <w:start w:val="1"/>
      <w:numFmt w:val="bullet"/>
      <w:lvlText w:val="o"/>
      <w:lvlJc w:val="left"/>
      <w:pPr>
        <w:ind w:left="3600" w:hanging="360"/>
      </w:pPr>
      <w:rPr>
        <w:rFonts w:ascii="Courier New" w:hAnsi="Courier New" w:hint="default"/>
      </w:rPr>
    </w:lvl>
    <w:lvl w:ilvl="5" w:tplc="40F08182">
      <w:start w:val="1"/>
      <w:numFmt w:val="bullet"/>
      <w:lvlText w:val=""/>
      <w:lvlJc w:val="left"/>
      <w:pPr>
        <w:ind w:left="4320" w:hanging="360"/>
      </w:pPr>
      <w:rPr>
        <w:rFonts w:ascii="Wingdings" w:hAnsi="Wingdings" w:hint="default"/>
      </w:rPr>
    </w:lvl>
    <w:lvl w:ilvl="6" w:tplc="CB448504">
      <w:start w:val="1"/>
      <w:numFmt w:val="bullet"/>
      <w:lvlText w:val=""/>
      <w:lvlJc w:val="left"/>
      <w:pPr>
        <w:ind w:left="5040" w:hanging="360"/>
      </w:pPr>
      <w:rPr>
        <w:rFonts w:ascii="Symbol" w:hAnsi="Symbol" w:hint="default"/>
      </w:rPr>
    </w:lvl>
    <w:lvl w:ilvl="7" w:tplc="56D49DC2">
      <w:start w:val="1"/>
      <w:numFmt w:val="bullet"/>
      <w:lvlText w:val="o"/>
      <w:lvlJc w:val="left"/>
      <w:pPr>
        <w:ind w:left="5760" w:hanging="360"/>
      </w:pPr>
      <w:rPr>
        <w:rFonts w:ascii="Courier New" w:hAnsi="Courier New" w:hint="default"/>
      </w:rPr>
    </w:lvl>
    <w:lvl w:ilvl="8" w:tplc="CD0A76C2">
      <w:start w:val="1"/>
      <w:numFmt w:val="bullet"/>
      <w:lvlText w:val=""/>
      <w:lvlJc w:val="left"/>
      <w:pPr>
        <w:ind w:left="6480" w:hanging="360"/>
      </w:pPr>
      <w:rPr>
        <w:rFonts w:ascii="Wingdings" w:hAnsi="Wingdings" w:hint="default"/>
      </w:rPr>
    </w:lvl>
  </w:abstractNum>
  <w:abstractNum w:abstractNumId="23" w15:restartNumberingAfterBreak="0">
    <w:nsid w:val="2D7C18A1"/>
    <w:multiLevelType w:val="hybridMultilevel"/>
    <w:tmpl w:val="F5FEC1BA"/>
    <w:lvl w:ilvl="0" w:tplc="474EE432">
      <w:start w:val="1"/>
      <w:numFmt w:val="bullet"/>
      <w:lvlText w:val="•"/>
      <w:lvlJc w:val="left"/>
      <w:pPr>
        <w:ind w:left="720" w:hanging="360"/>
      </w:pPr>
      <w:rPr>
        <w:rFonts w:ascii="Arial" w:hAnsi="Arial" w:hint="default"/>
        <w:sz w:val="28"/>
      </w:rPr>
    </w:lvl>
    <w:lvl w:ilvl="1" w:tplc="45264D52">
      <w:start w:val="1"/>
      <w:numFmt w:val="bullet"/>
      <w:lvlText w:val="o"/>
      <w:lvlJc w:val="left"/>
      <w:pPr>
        <w:ind w:left="1440" w:hanging="360"/>
      </w:pPr>
      <w:rPr>
        <w:rFonts w:ascii="Courier New" w:hAnsi="Courier New" w:hint="default"/>
      </w:rPr>
    </w:lvl>
    <w:lvl w:ilvl="2" w:tplc="D1065FA6">
      <w:start w:val="1"/>
      <w:numFmt w:val="bullet"/>
      <w:lvlText w:val=""/>
      <w:lvlJc w:val="left"/>
      <w:pPr>
        <w:ind w:left="2160" w:hanging="360"/>
      </w:pPr>
      <w:rPr>
        <w:rFonts w:ascii="Wingdings" w:hAnsi="Wingdings" w:hint="default"/>
      </w:rPr>
    </w:lvl>
    <w:lvl w:ilvl="3" w:tplc="D064188E">
      <w:start w:val="1"/>
      <w:numFmt w:val="bullet"/>
      <w:lvlText w:val=""/>
      <w:lvlJc w:val="left"/>
      <w:pPr>
        <w:ind w:left="2880" w:hanging="360"/>
      </w:pPr>
      <w:rPr>
        <w:rFonts w:ascii="Symbol" w:hAnsi="Symbol" w:hint="default"/>
      </w:rPr>
    </w:lvl>
    <w:lvl w:ilvl="4" w:tplc="787485AA">
      <w:start w:val="1"/>
      <w:numFmt w:val="bullet"/>
      <w:lvlText w:val="o"/>
      <w:lvlJc w:val="left"/>
      <w:pPr>
        <w:ind w:left="3600" w:hanging="360"/>
      </w:pPr>
      <w:rPr>
        <w:rFonts w:ascii="Courier New" w:hAnsi="Courier New" w:hint="default"/>
      </w:rPr>
    </w:lvl>
    <w:lvl w:ilvl="5" w:tplc="40F08182">
      <w:start w:val="1"/>
      <w:numFmt w:val="bullet"/>
      <w:lvlText w:val=""/>
      <w:lvlJc w:val="left"/>
      <w:pPr>
        <w:ind w:left="4320" w:hanging="360"/>
      </w:pPr>
      <w:rPr>
        <w:rFonts w:ascii="Wingdings" w:hAnsi="Wingdings" w:hint="default"/>
      </w:rPr>
    </w:lvl>
    <w:lvl w:ilvl="6" w:tplc="CB448504">
      <w:start w:val="1"/>
      <w:numFmt w:val="bullet"/>
      <w:lvlText w:val=""/>
      <w:lvlJc w:val="left"/>
      <w:pPr>
        <w:ind w:left="5040" w:hanging="360"/>
      </w:pPr>
      <w:rPr>
        <w:rFonts w:ascii="Symbol" w:hAnsi="Symbol" w:hint="default"/>
      </w:rPr>
    </w:lvl>
    <w:lvl w:ilvl="7" w:tplc="56D49DC2">
      <w:start w:val="1"/>
      <w:numFmt w:val="bullet"/>
      <w:lvlText w:val="o"/>
      <w:lvlJc w:val="left"/>
      <w:pPr>
        <w:ind w:left="5760" w:hanging="360"/>
      </w:pPr>
      <w:rPr>
        <w:rFonts w:ascii="Courier New" w:hAnsi="Courier New" w:hint="default"/>
      </w:rPr>
    </w:lvl>
    <w:lvl w:ilvl="8" w:tplc="CD0A76C2">
      <w:start w:val="1"/>
      <w:numFmt w:val="bullet"/>
      <w:lvlText w:val=""/>
      <w:lvlJc w:val="left"/>
      <w:pPr>
        <w:ind w:left="6480" w:hanging="360"/>
      </w:pPr>
      <w:rPr>
        <w:rFonts w:ascii="Wingdings" w:hAnsi="Wingdings" w:hint="default"/>
      </w:rPr>
    </w:lvl>
  </w:abstractNum>
  <w:abstractNum w:abstractNumId="24" w15:restartNumberingAfterBreak="0">
    <w:nsid w:val="2E8D20EC"/>
    <w:multiLevelType w:val="hybridMultilevel"/>
    <w:tmpl w:val="6B9A56CA"/>
    <w:lvl w:ilvl="0" w:tplc="7E2018A6">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AB0148"/>
    <w:multiLevelType w:val="hybridMultilevel"/>
    <w:tmpl w:val="C8BC82EE"/>
    <w:lvl w:ilvl="0" w:tplc="7E2018A6">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62324E"/>
    <w:multiLevelType w:val="hybridMultilevel"/>
    <w:tmpl w:val="0D062218"/>
    <w:lvl w:ilvl="0" w:tplc="7E2018A6">
      <w:start w:val="1"/>
      <w:numFmt w:val="bullet"/>
      <w:lvlText w:val="o"/>
      <w:lvlJc w:val="left"/>
      <w:pPr>
        <w:ind w:left="720" w:hanging="360"/>
      </w:pPr>
      <w:rPr>
        <w:rFonts w:ascii="Courier New" w:hAnsi="Courier New" w:hint="default"/>
        <w:sz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32343920"/>
    <w:multiLevelType w:val="hybridMultilevel"/>
    <w:tmpl w:val="67242C16"/>
    <w:lvl w:ilvl="0" w:tplc="FFFFFFFF">
      <w:start w:val="1"/>
      <w:numFmt w:val="bullet"/>
      <w:lvlText w:val="•"/>
      <w:lvlJc w:val="left"/>
      <w:pPr>
        <w:ind w:left="720" w:hanging="360"/>
      </w:pPr>
      <w:rPr>
        <w:rFonts w:ascii="Arial" w:hAnsi="Arial" w:hint="default"/>
        <w:sz w:val="28"/>
      </w:rPr>
    </w:lvl>
    <w:lvl w:ilvl="1" w:tplc="FFFFFFFF">
      <w:start w:val="1"/>
      <w:numFmt w:val="bullet"/>
      <w:lvlText w:val="o"/>
      <w:lvlJc w:val="left"/>
      <w:pPr>
        <w:ind w:left="1440" w:hanging="360"/>
      </w:pPr>
      <w:rPr>
        <w:rFonts w:ascii="Courier New" w:hAnsi="Courier New" w:hint="default"/>
        <w:sz w:val="20"/>
      </w:rPr>
    </w:lvl>
    <w:lvl w:ilvl="2" w:tplc="7E2018A6">
      <w:start w:val="1"/>
      <w:numFmt w:val="bullet"/>
      <w:lvlText w:val="o"/>
      <w:lvlJc w:val="left"/>
      <w:pPr>
        <w:ind w:left="720" w:hanging="360"/>
      </w:pPr>
      <w:rPr>
        <w:rFonts w:ascii="Courier New" w:hAnsi="Courier New" w:hint="default"/>
        <w:sz w:val="20"/>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340D2225"/>
    <w:multiLevelType w:val="hybridMultilevel"/>
    <w:tmpl w:val="2ECEF796"/>
    <w:lvl w:ilvl="0" w:tplc="474EE432">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380E2F"/>
    <w:multiLevelType w:val="hybridMultilevel"/>
    <w:tmpl w:val="AAEE0554"/>
    <w:lvl w:ilvl="0" w:tplc="7E2018A6">
      <w:start w:val="1"/>
      <w:numFmt w:val="bullet"/>
      <w:lvlText w:val="o"/>
      <w:lvlJc w:val="left"/>
      <w:pPr>
        <w:ind w:left="1440" w:hanging="360"/>
      </w:pPr>
      <w:rPr>
        <w:rFonts w:ascii="Courier New" w:hAnsi="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703EC1"/>
    <w:multiLevelType w:val="hybridMultilevel"/>
    <w:tmpl w:val="7E6A1FD0"/>
    <w:lvl w:ilvl="0" w:tplc="7E2018A6">
      <w:start w:val="1"/>
      <w:numFmt w:val="bullet"/>
      <w:lvlText w:val="o"/>
      <w:lvlJc w:val="left"/>
      <w:pPr>
        <w:ind w:left="1080" w:hanging="360"/>
      </w:pPr>
      <w:rPr>
        <w:rFonts w:ascii="Courier New" w:hAnsi="Courier New" w:hint="default"/>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39C20549"/>
    <w:multiLevelType w:val="hybridMultilevel"/>
    <w:tmpl w:val="39A4CD24"/>
    <w:lvl w:ilvl="0" w:tplc="474EE432">
      <w:start w:val="1"/>
      <w:numFmt w:val="bullet"/>
      <w:lvlText w:val="•"/>
      <w:lvlJc w:val="left"/>
      <w:pPr>
        <w:ind w:left="720" w:hanging="360"/>
      </w:pPr>
      <w:rPr>
        <w:rFonts w:ascii="Arial" w:hAnsi="Arial" w:hint="default"/>
        <w:sz w:val="28"/>
      </w:rPr>
    </w:lvl>
    <w:lvl w:ilvl="1" w:tplc="9552D796">
      <w:start w:val="1"/>
      <w:numFmt w:val="bullet"/>
      <w:lvlText w:val="o"/>
      <w:lvlJc w:val="left"/>
      <w:pPr>
        <w:ind w:left="1440" w:hanging="360"/>
      </w:pPr>
      <w:rPr>
        <w:rFonts w:ascii="Courier New" w:hAnsi="Courier New" w:hint="default"/>
      </w:rPr>
    </w:lvl>
    <w:lvl w:ilvl="2" w:tplc="25D003C6">
      <w:start w:val="1"/>
      <w:numFmt w:val="bullet"/>
      <w:lvlText w:val=""/>
      <w:lvlJc w:val="left"/>
      <w:pPr>
        <w:ind w:left="2160" w:hanging="360"/>
      </w:pPr>
      <w:rPr>
        <w:rFonts w:ascii="Wingdings" w:hAnsi="Wingdings" w:hint="default"/>
      </w:rPr>
    </w:lvl>
    <w:lvl w:ilvl="3" w:tplc="FFDE8580">
      <w:start w:val="1"/>
      <w:numFmt w:val="bullet"/>
      <w:lvlText w:val=""/>
      <w:lvlJc w:val="left"/>
      <w:pPr>
        <w:ind w:left="2880" w:hanging="360"/>
      </w:pPr>
      <w:rPr>
        <w:rFonts w:ascii="Symbol" w:hAnsi="Symbol" w:hint="default"/>
      </w:rPr>
    </w:lvl>
    <w:lvl w:ilvl="4" w:tplc="0E704D4A">
      <w:start w:val="1"/>
      <w:numFmt w:val="bullet"/>
      <w:lvlText w:val="o"/>
      <w:lvlJc w:val="left"/>
      <w:pPr>
        <w:ind w:left="3600" w:hanging="360"/>
      </w:pPr>
      <w:rPr>
        <w:rFonts w:ascii="Courier New" w:hAnsi="Courier New" w:hint="default"/>
      </w:rPr>
    </w:lvl>
    <w:lvl w:ilvl="5" w:tplc="701A365A">
      <w:start w:val="1"/>
      <w:numFmt w:val="bullet"/>
      <w:lvlText w:val=""/>
      <w:lvlJc w:val="left"/>
      <w:pPr>
        <w:ind w:left="4320" w:hanging="360"/>
      </w:pPr>
      <w:rPr>
        <w:rFonts w:ascii="Wingdings" w:hAnsi="Wingdings" w:hint="default"/>
      </w:rPr>
    </w:lvl>
    <w:lvl w:ilvl="6" w:tplc="805019BA">
      <w:start w:val="1"/>
      <w:numFmt w:val="bullet"/>
      <w:lvlText w:val=""/>
      <w:lvlJc w:val="left"/>
      <w:pPr>
        <w:ind w:left="5040" w:hanging="360"/>
      </w:pPr>
      <w:rPr>
        <w:rFonts w:ascii="Symbol" w:hAnsi="Symbol" w:hint="default"/>
      </w:rPr>
    </w:lvl>
    <w:lvl w:ilvl="7" w:tplc="683414B8">
      <w:start w:val="1"/>
      <w:numFmt w:val="bullet"/>
      <w:lvlText w:val="o"/>
      <w:lvlJc w:val="left"/>
      <w:pPr>
        <w:ind w:left="5760" w:hanging="360"/>
      </w:pPr>
      <w:rPr>
        <w:rFonts w:ascii="Courier New" w:hAnsi="Courier New" w:hint="default"/>
      </w:rPr>
    </w:lvl>
    <w:lvl w:ilvl="8" w:tplc="44329BD8">
      <w:start w:val="1"/>
      <w:numFmt w:val="bullet"/>
      <w:lvlText w:val=""/>
      <w:lvlJc w:val="left"/>
      <w:pPr>
        <w:ind w:left="6480" w:hanging="360"/>
      </w:pPr>
      <w:rPr>
        <w:rFonts w:ascii="Wingdings" w:hAnsi="Wingdings" w:hint="default"/>
      </w:rPr>
    </w:lvl>
  </w:abstractNum>
  <w:abstractNum w:abstractNumId="32" w15:restartNumberingAfterBreak="0">
    <w:nsid w:val="4207556E"/>
    <w:multiLevelType w:val="hybridMultilevel"/>
    <w:tmpl w:val="42481B36"/>
    <w:lvl w:ilvl="0" w:tplc="7E2018A6">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807C00"/>
    <w:multiLevelType w:val="hybridMultilevel"/>
    <w:tmpl w:val="C47AFB3E"/>
    <w:lvl w:ilvl="0" w:tplc="474EE432">
      <w:start w:val="1"/>
      <w:numFmt w:val="bullet"/>
      <w:lvlText w:val="•"/>
      <w:lvlJc w:val="left"/>
      <w:pPr>
        <w:ind w:left="720" w:hanging="360"/>
      </w:pPr>
      <w:rPr>
        <w:rFonts w:ascii="Arial" w:hAnsi="Aria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2FB4EFC"/>
    <w:multiLevelType w:val="hybridMultilevel"/>
    <w:tmpl w:val="CBE83192"/>
    <w:lvl w:ilvl="0" w:tplc="7E2018A6">
      <w:start w:val="1"/>
      <w:numFmt w:val="bullet"/>
      <w:lvlText w:val="o"/>
      <w:lvlJc w:val="left"/>
      <w:pPr>
        <w:ind w:left="1440" w:hanging="360"/>
      </w:pPr>
      <w:rPr>
        <w:rFonts w:ascii="Courier New" w:hAnsi="Courier New" w:hint="default"/>
        <w:sz w:val="2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44040BF9"/>
    <w:multiLevelType w:val="hybridMultilevel"/>
    <w:tmpl w:val="19F880A4"/>
    <w:lvl w:ilvl="0" w:tplc="474EE432">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B0647D"/>
    <w:multiLevelType w:val="hybridMultilevel"/>
    <w:tmpl w:val="B890F03C"/>
    <w:lvl w:ilvl="0" w:tplc="474EE432">
      <w:start w:val="1"/>
      <w:numFmt w:val="bullet"/>
      <w:lvlText w:val="•"/>
      <w:lvlJc w:val="left"/>
      <w:pPr>
        <w:ind w:left="360" w:hanging="360"/>
      </w:pPr>
      <w:rPr>
        <w:rFonts w:ascii="Arial" w:hAnsi="Arial" w:hint="default"/>
        <w:sz w:val="2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47A96530"/>
    <w:multiLevelType w:val="hybridMultilevel"/>
    <w:tmpl w:val="45E283BA"/>
    <w:lvl w:ilvl="0" w:tplc="474EE432">
      <w:start w:val="1"/>
      <w:numFmt w:val="bullet"/>
      <w:lvlText w:val="•"/>
      <w:lvlJc w:val="left"/>
      <w:pPr>
        <w:ind w:left="720" w:hanging="360"/>
      </w:pPr>
      <w:rPr>
        <w:rFonts w:ascii="Arial" w:hAnsi="Aria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7DE5661"/>
    <w:multiLevelType w:val="hybridMultilevel"/>
    <w:tmpl w:val="38F681B8"/>
    <w:lvl w:ilvl="0" w:tplc="474EE432">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5A5869"/>
    <w:multiLevelType w:val="hybridMultilevel"/>
    <w:tmpl w:val="EDCAFF4A"/>
    <w:lvl w:ilvl="0" w:tplc="474EE432">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AD1B10"/>
    <w:multiLevelType w:val="hybridMultilevel"/>
    <w:tmpl w:val="C5828648"/>
    <w:lvl w:ilvl="0" w:tplc="04090001">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E665452"/>
    <w:multiLevelType w:val="hybridMultilevel"/>
    <w:tmpl w:val="23585650"/>
    <w:lvl w:ilvl="0" w:tplc="474EE432">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ED0E80"/>
    <w:multiLevelType w:val="hybridMultilevel"/>
    <w:tmpl w:val="03FAE812"/>
    <w:lvl w:ilvl="0" w:tplc="4C26DC7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673B5C"/>
    <w:multiLevelType w:val="multilevel"/>
    <w:tmpl w:val="71E86310"/>
    <w:lvl w:ilvl="0">
      <w:start w:val="1"/>
      <w:numFmt w:val="bullet"/>
      <w:lvlText w:val="•"/>
      <w:lvlJc w:val="left"/>
      <w:pPr>
        <w:tabs>
          <w:tab w:val="num" w:pos="720"/>
        </w:tabs>
        <w:ind w:left="720" w:hanging="360"/>
      </w:pPr>
      <w:rPr>
        <w:rFonts w:ascii="Arial" w:hAnsi="Arial" w:hint="default"/>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88C4DE3"/>
    <w:multiLevelType w:val="hybridMultilevel"/>
    <w:tmpl w:val="8DAA2670"/>
    <w:lvl w:ilvl="0" w:tplc="FFFFFFFF">
      <w:start w:val="1"/>
      <w:numFmt w:val="bullet"/>
      <w:lvlText w:val="•"/>
      <w:lvlJc w:val="left"/>
      <w:pPr>
        <w:ind w:left="720" w:hanging="360"/>
      </w:pPr>
      <w:rPr>
        <w:rFonts w:ascii="Arial" w:hAnsi="Arial" w:hint="default"/>
        <w:sz w:val="28"/>
      </w:rPr>
    </w:lvl>
    <w:lvl w:ilvl="1" w:tplc="7E2018A6">
      <w:start w:val="1"/>
      <w:numFmt w:val="bullet"/>
      <w:lvlText w:val="o"/>
      <w:lvlJc w:val="left"/>
      <w:pPr>
        <w:ind w:left="2160" w:hanging="360"/>
      </w:pPr>
      <w:rPr>
        <w:rFonts w:ascii="Courier New" w:hAnsi="Courier New" w:hint="default"/>
        <w:sz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A663ED1"/>
    <w:multiLevelType w:val="hybridMultilevel"/>
    <w:tmpl w:val="2940D118"/>
    <w:lvl w:ilvl="0" w:tplc="474EE432">
      <w:start w:val="1"/>
      <w:numFmt w:val="bullet"/>
      <w:lvlText w:val="•"/>
      <w:lvlJc w:val="left"/>
      <w:pPr>
        <w:ind w:left="1080" w:hanging="360"/>
      </w:pPr>
      <w:rPr>
        <w:rFonts w:ascii="Arial" w:hAnsi="Arial" w:hint="default"/>
        <w:sz w:val="2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5BD00A38"/>
    <w:multiLevelType w:val="hybridMultilevel"/>
    <w:tmpl w:val="CF4643D0"/>
    <w:lvl w:ilvl="0" w:tplc="474EE432">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7D6417"/>
    <w:multiLevelType w:val="hybridMultilevel"/>
    <w:tmpl w:val="07BAA6B4"/>
    <w:lvl w:ilvl="0" w:tplc="4C26DC7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DC24BC"/>
    <w:multiLevelType w:val="hybridMultilevel"/>
    <w:tmpl w:val="F800CF1E"/>
    <w:lvl w:ilvl="0" w:tplc="474EE432">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4D72B1"/>
    <w:multiLevelType w:val="hybridMultilevel"/>
    <w:tmpl w:val="AAF270C8"/>
    <w:lvl w:ilvl="0" w:tplc="474EE432">
      <w:start w:val="1"/>
      <w:numFmt w:val="bullet"/>
      <w:lvlText w:val="•"/>
      <w:lvlJc w:val="left"/>
      <w:pPr>
        <w:ind w:left="720" w:hanging="360"/>
      </w:pPr>
      <w:rPr>
        <w:rFonts w:ascii="Arial" w:hAnsi="Arial" w:hint="default"/>
        <w:sz w:val="28"/>
      </w:rPr>
    </w:lvl>
    <w:lvl w:ilvl="1" w:tplc="A45E34F8">
      <w:start w:val="1"/>
      <w:numFmt w:val="bullet"/>
      <w:lvlText w:val="o"/>
      <w:lvlJc w:val="left"/>
      <w:pPr>
        <w:ind w:left="1440" w:hanging="360"/>
      </w:pPr>
      <w:rPr>
        <w:rFonts w:ascii="Courier New" w:hAnsi="Courier New" w:hint="default"/>
      </w:rPr>
    </w:lvl>
    <w:lvl w:ilvl="2" w:tplc="5732AE8E">
      <w:start w:val="1"/>
      <w:numFmt w:val="bullet"/>
      <w:lvlText w:val=""/>
      <w:lvlJc w:val="left"/>
      <w:pPr>
        <w:ind w:left="2160" w:hanging="360"/>
      </w:pPr>
      <w:rPr>
        <w:rFonts w:ascii="Wingdings" w:hAnsi="Wingdings" w:hint="default"/>
      </w:rPr>
    </w:lvl>
    <w:lvl w:ilvl="3" w:tplc="118EFA30">
      <w:start w:val="1"/>
      <w:numFmt w:val="bullet"/>
      <w:lvlText w:val=""/>
      <w:lvlJc w:val="left"/>
      <w:pPr>
        <w:ind w:left="2880" w:hanging="360"/>
      </w:pPr>
      <w:rPr>
        <w:rFonts w:ascii="Symbol" w:hAnsi="Symbol" w:hint="default"/>
      </w:rPr>
    </w:lvl>
    <w:lvl w:ilvl="4" w:tplc="8F20517C">
      <w:start w:val="1"/>
      <w:numFmt w:val="bullet"/>
      <w:lvlText w:val="o"/>
      <w:lvlJc w:val="left"/>
      <w:pPr>
        <w:ind w:left="3600" w:hanging="360"/>
      </w:pPr>
      <w:rPr>
        <w:rFonts w:ascii="Courier New" w:hAnsi="Courier New" w:hint="default"/>
      </w:rPr>
    </w:lvl>
    <w:lvl w:ilvl="5" w:tplc="8E42F7AC">
      <w:start w:val="1"/>
      <w:numFmt w:val="bullet"/>
      <w:lvlText w:val=""/>
      <w:lvlJc w:val="left"/>
      <w:pPr>
        <w:ind w:left="4320" w:hanging="360"/>
      </w:pPr>
      <w:rPr>
        <w:rFonts w:ascii="Wingdings" w:hAnsi="Wingdings" w:hint="default"/>
      </w:rPr>
    </w:lvl>
    <w:lvl w:ilvl="6" w:tplc="3A88C7E4">
      <w:start w:val="1"/>
      <w:numFmt w:val="bullet"/>
      <w:lvlText w:val=""/>
      <w:lvlJc w:val="left"/>
      <w:pPr>
        <w:ind w:left="5040" w:hanging="360"/>
      </w:pPr>
      <w:rPr>
        <w:rFonts w:ascii="Symbol" w:hAnsi="Symbol" w:hint="default"/>
      </w:rPr>
    </w:lvl>
    <w:lvl w:ilvl="7" w:tplc="F0BA9F60">
      <w:start w:val="1"/>
      <w:numFmt w:val="bullet"/>
      <w:lvlText w:val="o"/>
      <w:lvlJc w:val="left"/>
      <w:pPr>
        <w:ind w:left="5760" w:hanging="360"/>
      </w:pPr>
      <w:rPr>
        <w:rFonts w:ascii="Courier New" w:hAnsi="Courier New" w:hint="default"/>
      </w:rPr>
    </w:lvl>
    <w:lvl w:ilvl="8" w:tplc="D71CE078">
      <w:start w:val="1"/>
      <w:numFmt w:val="bullet"/>
      <w:lvlText w:val=""/>
      <w:lvlJc w:val="left"/>
      <w:pPr>
        <w:ind w:left="6480" w:hanging="360"/>
      </w:pPr>
      <w:rPr>
        <w:rFonts w:ascii="Wingdings" w:hAnsi="Wingdings" w:hint="default"/>
      </w:rPr>
    </w:lvl>
  </w:abstractNum>
  <w:abstractNum w:abstractNumId="50" w15:restartNumberingAfterBreak="0">
    <w:nsid w:val="66CA19D3"/>
    <w:multiLevelType w:val="hybridMultilevel"/>
    <w:tmpl w:val="C2409822"/>
    <w:lvl w:ilvl="0" w:tplc="474EE432">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320DA9"/>
    <w:multiLevelType w:val="hybridMultilevel"/>
    <w:tmpl w:val="9F400B1C"/>
    <w:lvl w:ilvl="0" w:tplc="474EE432">
      <w:start w:val="1"/>
      <w:numFmt w:val="bullet"/>
      <w:lvlText w:val="•"/>
      <w:lvlJc w:val="left"/>
      <w:pPr>
        <w:ind w:left="720" w:hanging="360"/>
      </w:pPr>
      <w:rPr>
        <w:rFonts w:ascii="Arial" w:hAnsi="Aria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88755C8"/>
    <w:multiLevelType w:val="hybridMultilevel"/>
    <w:tmpl w:val="54383EBE"/>
    <w:lvl w:ilvl="0" w:tplc="474EE432">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9C55F9"/>
    <w:multiLevelType w:val="hybridMultilevel"/>
    <w:tmpl w:val="0088C8AE"/>
    <w:lvl w:ilvl="0" w:tplc="B7247898">
      <w:start w:val="1"/>
      <w:numFmt w:val="bullet"/>
      <w:lvlText w:val=""/>
      <w:lvlJc w:val="left"/>
      <w:pPr>
        <w:ind w:left="720" w:hanging="360"/>
      </w:pPr>
      <w:rPr>
        <w:rFonts w:ascii="Symbol" w:hAnsi="Symbol"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8F2E0C"/>
    <w:multiLevelType w:val="multilevel"/>
    <w:tmpl w:val="C5A294D6"/>
    <w:lvl w:ilvl="0">
      <w:start w:val="1"/>
      <w:numFmt w:val="bullet"/>
      <w:lvlText w:val="•"/>
      <w:lvlJc w:val="left"/>
      <w:pPr>
        <w:tabs>
          <w:tab w:val="num" w:pos="720"/>
        </w:tabs>
        <w:ind w:left="720" w:hanging="360"/>
      </w:pPr>
      <w:rPr>
        <w:rFonts w:ascii="Arial" w:hAnsi="Arial" w:hint="default"/>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D301A7A"/>
    <w:multiLevelType w:val="hybridMultilevel"/>
    <w:tmpl w:val="EBD6F544"/>
    <w:lvl w:ilvl="0" w:tplc="4C26DC7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9F224C"/>
    <w:multiLevelType w:val="hybridMultilevel"/>
    <w:tmpl w:val="05F03196"/>
    <w:lvl w:ilvl="0" w:tplc="FFFFFFFF">
      <w:start w:val="1"/>
      <w:numFmt w:val="bullet"/>
      <w:lvlText w:val="•"/>
      <w:lvlJc w:val="left"/>
      <w:pPr>
        <w:ind w:left="720" w:hanging="360"/>
      </w:pPr>
      <w:rPr>
        <w:rFonts w:ascii="Arial" w:hAnsi="Arial" w:hint="default"/>
        <w:sz w:val="28"/>
      </w:rPr>
    </w:lvl>
    <w:lvl w:ilvl="1" w:tplc="FFFFFFFF">
      <w:start w:val="1"/>
      <w:numFmt w:val="bullet"/>
      <w:lvlText w:val="•"/>
      <w:lvlJc w:val="left"/>
      <w:pPr>
        <w:ind w:left="1440" w:hanging="360"/>
      </w:pPr>
      <w:rPr>
        <w:rFonts w:ascii="Arial" w:hAnsi="Arial" w:hint="default"/>
        <w:sz w:val="28"/>
      </w:rPr>
    </w:lvl>
    <w:lvl w:ilvl="2" w:tplc="7E2018A6">
      <w:start w:val="1"/>
      <w:numFmt w:val="bullet"/>
      <w:lvlText w:val="o"/>
      <w:lvlJc w:val="left"/>
      <w:pPr>
        <w:ind w:left="720" w:hanging="360"/>
      </w:pPr>
      <w:rPr>
        <w:rFonts w:ascii="Courier New" w:hAnsi="Courier New" w:hint="default"/>
        <w:sz w:val="20"/>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700F43C6"/>
    <w:multiLevelType w:val="hybridMultilevel"/>
    <w:tmpl w:val="A76442E4"/>
    <w:lvl w:ilvl="0" w:tplc="4C26DC7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566F38"/>
    <w:multiLevelType w:val="hybridMultilevel"/>
    <w:tmpl w:val="75E4082A"/>
    <w:lvl w:ilvl="0" w:tplc="FFFFFFFF">
      <w:start w:val="1"/>
      <w:numFmt w:val="bullet"/>
      <w:lvlText w:val=""/>
      <w:lvlJc w:val="left"/>
      <w:pPr>
        <w:ind w:left="720" w:hanging="360"/>
      </w:pPr>
      <w:rPr>
        <w:rFonts w:ascii="Symbol" w:hAnsi="Symbol" w:hint="default"/>
      </w:rPr>
    </w:lvl>
    <w:lvl w:ilvl="1" w:tplc="474EE432">
      <w:start w:val="1"/>
      <w:numFmt w:val="bullet"/>
      <w:lvlText w:val="•"/>
      <w:lvlJc w:val="left"/>
      <w:pPr>
        <w:ind w:left="720" w:hanging="360"/>
      </w:pPr>
      <w:rPr>
        <w:rFonts w:ascii="Arial" w:hAnsi="Arial" w:hint="default"/>
        <w:sz w:val="28"/>
      </w:rPr>
    </w:lvl>
    <w:lvl w:ilvl="2" w:tplc="7E2018A6">
      <w:start w:val="1"/>
      <w:numFmt w:val="bullet"/>
      <w:lvlText w:val="o"/>
      <w:lvlJc w:val="left"/>
      <w:pPr>
        <w:ind w:left="2160" w:hanging="360"/>
      </w:pPr>
      <w:rPr>
        <w:rFonts w:ascii="Courier New" w:hAnsi="Courier New" w:hint="default"/>
        <w:sz w:val="20"/>
      </w:rPr>
    </w:lvl>
    <w:lvl w:ilvl="3" w:tplc="FFFFFFFF">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4552DD7"/>
    <w:multiLevelType w:val="hybridMultilevel"/>
    <w:tmpl w:val="39642E44"/>
    <w:lvl w:ilvl="0" w:tplc="474EE432">
      <w:start w:val="1"/>
      <w:numFmt w:val="bullet"/>
      <w:lvlText w:val="•"/>
      <w:lvlJc w:val="left"/>
      <w:pPr>
        <w:ind w:left="1440" w:hanging="360"/>
      </w:pPr>
      <w:rPr>
        <w:rFonts w:ascii="Arial" w:hAnsi="Aria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4DB361B"/>
    <w:multiLevelType w:val="hybridMultilevel"/>
    <w:tmpl w:val="C2247FC6"/>
    <w:lvl w:ilvl="0" w:tplc="FFFFFFFF">
      <w:start w:val="1"/>
      <w:numFmt w:val="bullet"/>
      <w:lvlText w:val="•"/>
      <w:lvlJc w:val="left"/>
      <w:pPr>
        <w:ind w:left="720" w:hanging="360"/>
      </w:pPr>
      <w:rPr>
        <w:rFonts w:ascii="Arial" w:hAnsi="Arial" w:hint="default"/>
        <w:sz w:val="28"/>
      </w:rPr>
    </w:lvl>
    <w:lvl w:ilvl="1" w:tplc="7E2018A6">
      <w:start w:val="1"/>
      <w:numFmt w:val="bullet"/>
      <w:lvlText w:val="o"/>
      <w:lvlJc w:val="left"/>
      <w:pPr>
        <w:ind w:left="720" w:hanging="360"/>
      </w:pPr>
      <w:rPr>
        <w:rFonts w:ascii="Courier New" w:hAnsi="Courier New" w:hint="default"/>
        <w:sz w:val="2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1" w15:restartNumberingAfterBreak="0">
    <w:nsid w:val="753B2C42"/>
    <w:multiLevelType w:val="hybridMultilevel"/>
    <w:tmpl w:val="4844E6DA"/>
    <w:lvl w:ilvl="0" w:tplc="FFFFFFFF">
      <w:start w:val="1"/>
      <w:numFmt w:val="bullet"/>
      <w:lvlText w:val=""/>
      <w:lvlJc w:val="left"/>
      <w:pPr>
        <w:ind w:left="720" w:hanging="360"/>
      </w:pPr>
      <w:rPr>
        <w:rFonts w:ascii="Symbol" w:hAnsi="Symbol" w:hint="default"/>
        <w:sz w:val="20"/>
      </w:rPr>
    </w:lvl>
    <w:lvl w:ilvl="1" w:tplc="7E2018A6">
      <w:start w:val="1"/>
      <w:numFmt w:val="bullet"/>
      <w:lvlText w:val="o"/>
      <w:lvlJc w:val="left"/>
      <w:pPr>
        <w:ind w:left="2160" w:hanging="360"/>
      </w:pPr>
      <w:rPr>
        <w:rFonts w:ascii="Courier New" w:hAnsi="Courier New" w:hint="default"/>
        <w:sz w:val="2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64869A4"/>
    <w:multiLevelType w:val="hybridMultilevel"/>
    <w:tmpl w:val="1FD80892"/>
    <w:lvl w:ilvl="0" w:tplc="7E2018A6">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52034D"/>
    <w:multiLevelType w:val="hybridMultilevel"/>
    <w:tmpl w:val="836C2AF6"/>
    <w:lvl w:ilvl="0" w:tplc="474EE432">
      <w:start w:val="1"/>
      <w:numFmt w:val="bullet"/>
      <w:lvlText w:val="•"/>
      <w:lvlJc w:val="left"/>
      <w:pPr>
        <w:ind w:left="720" w:hanging="360"/>
      </w:pPr>
      <w:rPr>
        <w:rFonts w:ascii="Arial" w:hAnsi="Arial" w:hint="default"/>
        <w:sz w:val="28"/>
      </w:rPr>
    </w:lvl>
    <w:lvl w:ilvl="1" w:tplc="45264D52">
      <w:start w:val="1"/>
      <w:numFmt w:val="bullet"/>
      <w:lvlText w:val="o"/>
      <w:lvlJc w:val="left"/>
      <w:pPr>
        <w:ind w:left="1440" w:hanging="360"/>
      </w:pPr>
      <w:rPr>
        <w:rFonts w:ascii="Courier New" w:hAnsi="Courier New" w:hint="default"/>
      </w:rPr>
    </w:lvl>
    <w:lvl w:ilvl="2" w:tplc="D1065FA6">
      <w:start w:val="1"/>
      <w:numFmt w:val="bullet"/>
      <w:lvlText w:val=""/>
      <w:lvlJc w:val="left"/>
      <w:pPr>
        <w:ind w:left="2160" w:hanging="360"/>
      </w:pPr>
      <w:rPr>
        <w:rFonts w:ascii="Wingdings" w:hAnsi="Wingdings" w:hint="default"/>
      </w:rPr>
    </w:lvl>
    <w:lvl w:ilvl="3" w:tplc="D064188E">
      <w:start w:val="1"/>
      <w:numFmt w:val="bullet"/>
      <w:lvlText w:val=""/>
      <w:lvlJc w:val="left"/>
      <w:pPr>
        <w:ind w:left="2880" w:hanging="360"/>
      </w:pPr>
      <w:rPr>
        <w:rFonts w:ascii="Symbol" w:hAnsi="Symbol" w:hint="default"/>
      </w:rPr>
    </w:lvl>
    <w:lvl w:ilvl="4" w:tplc="787485AA">
      <w:start w:val="1"/>
      <w:numFmt w:val="bullet"/>
      <w:lvlText w:val="o"/>
      <w:lvlJc w:val="left"/>
      <w:pPr>
        <w:ind w:left="3600" w:hanging="360"/>
      </w:pPr>
      <w:rPr>
        <w:rFonts w:ascii="Courier New" w:hAnsi="Courier New" w:hint="default"/>
      </w:rPr>
    </w:lvl>
    <w:lvl w:ilvl="5" w:tplc="40F08182">
      <w:start w:val="1"/>
      <w:numFmt w:val="bullet"/>
      <w:lvlText w:val=""/>
      <w:lvlJc w:val="left"/>
      <w:pPr>
        <w:ind w:left="4320" w:hanging="360"/>
      </w:pPr>
      <w:rPr>
        <w:rFonts w:ascii="Wingdings" w:hAnsi="Wingdings" w:hint="default"/>
      </w:rPr>
    </w:lvl>
    <w:lvl w:ilvl="6" w:tplc="CB448504">
      <w:start w:val="1"/>
      <w:numFmt w:val="bullet"/>
      <w:lvlText w:val=""/>
      <w:lvlJc w:val="left"/>
      <w:pPr>
        <w:ind w:left="5040" w:hanging="360"/>
      </w:pPr>
      <w:rPr>
        <w:rFonts w:ascii="Symbol" w:hAnsi="Symbol" w:hint="default"/>
      </w:rPr>
    </w:lvl>
    <w:lvl w:ilvl="7" w:tplc="56D49DC2">
      <w:start w:val="1"/>
      <w:numFmt w:val="bullet"/>
      <w:lvlText w:val="o"/>
      <w:lvlJc w:val="left"/>
      <w:pPr>
        <w:ind w:left="5760" w:hanging="360"/>
      </w:pPr>
      <w:rPr>
        <w:rFonts w:ascii="Courier New" w:hAnsi="Courier New" w:hint="default"/>
      </w:rPr>
    </w:lvl>
    <w:lvl w:ilvl="8" w:tplc="CD0A76C2">
      <w:start w:val="1"/>
      <w:numFmt w:val="bullet"/>
      <w:lvlText w:val=""/>
      <w:lvlJc w:val="left"/>
      <w:pPr>
        <w:ind w:left="6480" w:hanging="360"/>
      </w:pPr>
      <w:rPr>
        <w:rFonts w:ascii="Wingdings" w:hAnsi="Wingdings" w:hint="default"/>
      </w:rPr>
    </w:lvl>
  </w:abstractNum>
  <w:abstractNum w:abstractNumId="64" w15:restartNumberingAfterBreak="0">
    <w:nsid w:val="78692007"/>
    <w:multiLevelType w:val="hybridMultilevel"/>
    <w:tmpl w:val="C5503F1E"/>
    <w:lvl w:ilvl="0" w:tplc="474EE432">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3B222A"/>
    <w:multiLevelType w:val="hybridMultilevel"/>
    <w:tmpl w:val="E15C0BF0"/>
    <w:lvl w:ilvl="0" w:tplc="474EE432">
      <w:start w:val="1"/>
      <w:numFmt w:val="bullet"/>
      <w:lvlText w:val="•"/>
      <w:lvlJc w:val="left"/>
      <w:pPr>
        <w:ind w:left="907" w:hanging="360"/>
      </w:pPr>
      <w:rPr>
        <w:rFonts w:ascii="Arial" w:hAnsi="Arial" w:hint="default"/>
        <w:sz w:val="28"/>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788010806">
    <w:abstractNumId w:val="1"/>
  </w:num>
  <w:num w:numId="2" w16cid:durableId="478036449">
    <w:abstractNumId w:val="48"/>
  </w:num>
  <w:num w:numId="3" w16cid:durableId="299073359">
    <w:abstractNumId w:val="59"/>
  </w:num>
  <w:num w:numId="4" w16cid:durableId="217013986">
    <w:abstractNumId w:val="23"/>
  </w:num>
  <w:num w:numId="5" w16cid:durableId="1232041798">
    <w:abstractNumId w:val="22"/>
  </w:num>
  <w:num w:numId="6" w16cid:durableId="2073961636">
    <w:abstractNumId w:val="12"/>
  </w:num>
  <w:num w:numId="7" w16cid:durableId="1595237319">
    <w:abstractNumId w:val="15"/>
  </w:num>
  <w:num w:numId="8" w16cid:durableId="995762010">
    <w:abstractNumId w:val="57"/>
  </w:num>
  <w:num w:numId="9" w16cid:durableId="630408045">
    <w:abstractNumId w:val="4"/>
  </w:num>
  <w:num w:numId="10" w16cid:durableId="356085092">
    <w:abstractNumId w:val="20"/>
  </w:num>
  <w:num w:numId="11" w16cid:durableId="1699626693">
    <w:abstractNumId w:val="43"/>
  </w:num>
  <w:num w:numId="12" w16cid:durableId="764227686">
    <w:abstractNumId w:val="54"/>
  </w:num>
  <w:num w:numId="13" w16cid:durableId="817115321">
    <w:abstractNumId w:val="41"/>
  </w:num>
  <w:num w:numId="14" w16cid:durableId="915092473">
    <w:abstractNumId w:val="38"/>
  </w:num>
  <w:num w:numId="15" w16cid:durableId="864827692">
    <w:abstractNumId w:val="28"/>
  </w:num>
  <w:num w:numId="16" w16cid:durableId="671689612">
    <w:abstractNumId w:val="63"/>
  </w:num>
  <w:num w:numId="17" w16cid:durableId="2046829410">
    <w:abstractNumId w:val="65"/>
  </w:num>
  <w:num w:numId="18" w16cid:durableId="1980181612">
    <w:abstractNumId w:val="9"/>
  </w:num>
  <w:num w:numId="19" w16cid:durableId="1457529471">
    <w:abstractNumId w:val="35"/>
  </w:num>
  <w:num w:numId="20" w16cid:durableId="51974672">
    <w:abstractNumId w:val="17"/>
  </w:num>
  <w:num w:numId="21" w16cid:durableId="315915829">
    <w:abstractNumId w:val="31"/>
  </w:num>
  <w:num w:numId="22" w16cid:durableId="705258008">
    <w:abstractNumId w:val="49"/>
  </w:num>
  <w:num w:numId="23" w16cid:durableId="588196225">
    <w:abstractNumId w:val="53"/>
  </w:num>
  <w:num w:numId="24" w16cid:durableId="1557743109">
    <w:abstractNumId w:val="3"/>
  </w:num>
  <w:num w:numId="25" w16cid:durableId="1057318105">
    <w:abstractNumId w:val="40"/>
  </w:num>
  <w:num w:numId="26" w16cid:durableId="1935161123">
    <w:abstractNumId w:val="2"/>
  </w:num>
  <w:num w:numId="27" w16cid:durableId="1041789105">
    <w:abstractNumId w:val="64"/>
  </w:num>
  <w:num w:numId="28" w16cid:durableId="1212569852">
    <w:abstractNumId w:val="11"/>
  </w:num>
  <w:num w:numId="29" w16cid:durableId="714354555">
    <w:abstractNumId w:val="39"/>
  </w:num>
  <w:num w:numId="30" w16cid:durableId="2055931091">
    <w:abstractNumId w:val="6"/>
  </w:num>
  <w:num w:numId="31" w16cid:durableId="621764472">
    <w:abstractNumId w:val="42"/>
  </w:num>
  <w:num w:numId="32" w16cid:durableId="1439063459">
    <w:abstractNumId w:val="47"/>
  </w:num>
  <w:num w:numId="33" w16cid:durableId="1369188049">
    <w:abstractNumId w:val="55"/>
  </w:num>
  <w:num w:numId="34" w16cid:durableId="386028533">
    <w:abstractNumId w:val="13"/>
  </w:num>
  <w:num w:numId="35" w16cid:durableId="523791767">
    <w:abstractNumId w:val="0"/>
  </w:num>
  <w:num w:numId="36" w16cid:durableId="1393692472">
    <w:abstractNumId w:val="32"/>
  </w:num>
  <w:num w:numId="37" w16cid:durableId="890724283">
    <w:abstractNumId w:val="24"/>
  </w:num>
  <w:num w:numId="38" w16cid:durableId="921793749">
    <w:abstractNumId w:val="45"/>
  </w:num>
  <w:num w:numId="39" w16cid:durableId="1234315272">
    <w:abstractNumId w:val="46"/>
  </w:num>
  <w:num w:numId="40" w16cid:durableId="809328630">
    <w:abstractNumId w:val="25"/>
  </w:num>
  <w:num w:numId="41" w16cid:durableId="284043110">
    <w:abstractNumId w:val="7"/>
  </w:num>
  <w:num w:numId="42" w16cid:durableId="2093428655">
    <w:abstractNumId w:val="50"/>
  </w:num>
  <w:num w:numId="43" w16cid:durableId="1324889968">
    <w:abstractNumId w:val="36"/>
  </w:num>
  <w:num w:numId="44" w16cid:durableId="888371781">
    <w:abstractNumId w:val="33"/>
  </w:num>
  <w:num w:numId="45" w16cid:durableId="985820369">
    <w:abstractNumId w:val="19"/>
  </w:num>
  <w:num w:numId="46" w16cid:durableId="1764373009">
    <w:abstractNumId w:val="58"/>
  </w:num>
  <w:num w:numId="47" w16cid:durableId="283387101">
    <w:abstractNumId w:val="16"/>
  </w:num>
  <w:num w:numId="48" w16cid:durableId="346323436">
    <w:abstractNumId w:val="21"/>
  </w:num>
  <w:num w:numId="49" w16cid:durableId="1835798260">
    <w:abstractNumId w:val="34"/>
  </w:num>
  <w:num w:numId="50" w16cid:durableId="258560637">
    <w:abstractNumId w:val="61"/>
  </w:num>
  <w:num w:numId="51" w16cid:durableId="1223174933">
    <w:abstractNumId w:val="44"/>
  </w:num>
  <w:num w:numId="52" w16cid:durableId="835805197">
    <w:abstractNumId w:val="10"/>
  </w:num>
  <w:num w:numId="53" w16cid:durableId="483009998">
    <w:abstractNumId w:val="51"/>
  </w:num>
  <w:num w:numId="54" w16cid:durableId="1901746501">
    <w:abstractNumId w:val="29"/>
  </w:num>
  <w:num w:numId="55" w16cid:durableId="282006245">
    <w:abstractNumId w:val="26"/>
  </w:num>
  <w:num w:numId="56" w16cid:durableId="1059746447">
    <w:abstractNumId w:val="27"/>
  </w:num>
  <w:num w:numId="57" w16cid:durableId="1542014485">
    <w:abstractNumId w:val="8"/>
  </w:num>
  <w:num w:numId="58" w16cid:durableId="89670347">
    <w:abstractNumId w:val="62"/>
  </w:num>
  <w:num w:numId="59" w16cid:durableId="812717936">
    <w:abstractNumId w:val="52"/>
  </w:num>
  <w:num w:numId="60" w16cid:durableId="155417336">
    <w:abstractNumId w:val="56"/>
  </w:num>
  <w:num w:numId="61" w16cid:durableId="3095546">
    <w:abstractNumId w:val="60"/>
  </w:num>
  <w:num w:numId="62" w16cid:durableId="846598030">
    <w:abstractNumId w:val="30"/>
  </w:num>
  <w:num w:numId="63" w16cid:durableId="96145692">
    <w:abstractNumId w:val="18"/>
  </w:num>
  <w:num w:numId="64" w16cid:durableId="200363113">
    <w:abstractNumId w:val="5"/>
  </w:num>
  <w:num w:numId="65" w16cid:durableId="1600407951">
    <w:abstractNumId w:val="14"/>
  </w:num>
  <w:num w:numId="66" w16cid:durableId="1818256576">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9B7"/>
    <w:rsid w:val="00000017"/>
    <w:rsid w:val="00000293"/>
    <w:rsid w:val="00001210"/>
    <w:rsid w:val="000018F3"/>
    <w:rsid w:val="0000242D"/>
    <w:rsid w:val="00002834"/>
    <w:rsid w:val="00002987"/>
    <w:rsid w:val="00003458"/>
    <w:rsid w:val="00003FF0"/>
    <w:rsid w:val="000058EE"/>
    <w:rsid w:val="00006615"/>
    <w:rsid w:val="000066CC"/>
    <w:rsid w:val="00007A16"/>
    <w:rsid w:val="00010DB6"/>
    <w:rsid w:val="0001223D"/>
    <w:rsid w:val="0001288E"/>
    <w:rsid w:val="0001301F"/>
    <w:rsid w:val="00014B8D"/>
    <w:rsid w:val="00015B93"/>
    <w:rsid w:val="000168C7"/>
    <w:rsid w:val="0001690F"/>
    <w:rsid w:val="00017E1E"/>
    <w:rsid w:val="000200B5"/>
    <w:rsid w:val="00020107"/>
    <w:rsid w:val="00020516"/>
    <w:rsid w:val="0002134E"/>
    <w:rsid w:val="00022A98"/>
    <w:rsid w:val="00022CC7"/>
    <w:rsid w:val="00022DA8"/>
    <w:rsid w:val="00023D10"/>
    <w:rsid w:val="00023E24"/>
    <w:rsid w:val="00024BAC"/>
    <w:rsid w:val="00025AB8"/>
    <w:rsid w:val="00025BDB"/>
    <w:rsid w:val="00025C95"/>
    <w:rsid w:val="000261C7"/>
    <w:rsid w:val="00027A64"/>
    <w:rsid w:val="00027DB3"/>
    <w:rsid w:val="00030113"/>
    <w:rsid w:val="00030441"/>
    <w:rsid w:val="00031CAB"/>
    <w:rsid w:val="00033BED"/>
    <w:rsid w:val="00033D46"/>
    <w:rsid w:val="00033DA7"/>
    <w:rsid w:val="00034567"/>
    <w:rsid w:val="00035E2C"/>
    <w:rsid w:val="00036365"/>
    <w:rsid w:val="000366A0"/>
    <w:rsid w:val="00036804"/>
    <w:rsid w:val="000405B4"/>
    <w:rsid w:val="0004089F"/>
    <w:rsid w:val="00041042"/>
    <w:rsid w:val="000412C7"/>
    <w:rsid w:val="00041646"/>
    <w:rsid w:val="00042889"/>
    <w:rsid w:val="00042D24"/>
    <w:rsid w:val="0004403C"/>
    <w:rsid w:val="000440AA"/>
    <w:rsid w:val="000446FB"/>
    <w:rsid w:val="000447E1"/>
    <w:rsid w:val="000447FB"/>
    <w:rsid w:val="00044955"/>
    <w:rsid w:val="00044EDD"/>
    <w:rsid w:val="000450F5"/>
    <w:rsid w:val="00045CE7"/>
    <w:rsid w:val="0004674F"/>
    <w:rsid w:val="00046AFC"/>
    <w:rsid w:val="000475CB"/>
    <w:rsid w:val="00047B47"/>
    <w:rsid w:val="00050223"/>
    <w:rsid w:val="00051E61"/>
    <w:rsid w:val="00052078"/>
    <w:rsid w:val="00052124"/>
    <w:rsid w:val="0005262F"/>
    <w:rsid w:val="0005419C"/>
    <w:rsid w:val="00055E9D"/>
    <w:rsid w:val="00055EFC"/>
    <w:rsid w:val="00056078"/>
    <w:rsid w:val="000561D8"/>
    <w:rsid w:val="00057204"/>
    <w:rsid w:val="000572D2"/>
    <w:rsid w:val="00057399"/>
    <w:rsid w:val="00060AA6"/>
    <w:rsid w:val="00060B31"/>
    <w:rsid w:val="00060C62"/>
    <w:rsid w:val="00060E62"/>
    <w:rsid w:val="00061122"/>
    <w:rsid w:val="000631FC"/>
    <w:rsid w:val="00063200"/>
    <w:rsid w:val="00065D48"/>
    <w:rsid w:val="00065E15"/>
    <w:rsid w:val="00066BDE"/>
    <w:rsid w:val="00067485"/>
    <w:rsid w:val="00067FC3"/>
    <w:rsid w:val="00070770"/>
    <w:rsid w:val="00071203"/>
    <w:rsid w:val="00071572"/>
    <w:rsid w:val="00071A99"/>
    <w:rsid w:val="00072131"/>
    <w:rsid w:val="00072DAB"/>
    <w:rsid w:val="00072DC7"/>
    <w:rsid w:val="00074CED"/>
    <w:rsid w:val="00074D2F"/>
    <w:rsid w:val="00074F87"/>
    <w:rsid w:val="000754DB"/>
    <w:rsid w:val="000763B7"/>
    <w:rsid w:val="00077E43"/>
    <w:rsid w:val="00080716"/>
    <w:rsid w:val="0008115E"/>
    <w:rsid w:val="00082D9E"/>
    <w:rsid w:val="0008300B"/>
    <w:rsid w:val="0008300D"/>
    <w:rsid w:val="00083880"/>
    <w:rsid w:val="00084052"/>
    <w:rsid w:val="00084C7C"/>
    <w:rsid w:val="00085682"/>
    <w:rsid w:val="00085EA4"/>
    <w:rsid w:val="000862D1"/>
    <w:rsid w:val="0008671D"/>
    <w:rsid w:val="0009072B"/>
    <w:rsid w:val="00090E6A"/>
    <w:rsid w:val="000919BD"/>
    <w:rsid w:val="00092595"/>
    <w:rsid w:val="00092676"/>
    <w:rsid w:val="00092921"/>
    <w:rsid w:val="00092FC7"/>
    <w:rsid w:val="0009315A"/>
    <w:rsid w:val="000945D5"/>
    <w:rsid w:val="00095592"/>
    <w:rsid w:val="0009609B"/>
    <w:rsid w:val="00097064"/>
    <w:rsid w:val="00097D38"/>
    <w:rsid w:val="00097E0F"/>
    <w:rsid w:val="000A11DB"/>
    <w:rsid w:val="000A1E0C"/>
    <w:rsid w:val="000A1E59"/>
    <w:rsid w:val="000A22F3"/>
    <w:rsid w:val="000A267E"/>
    <w:rsid w:val="000A26BD"/>
    <w:rsid w:val="000A3B2B"/>
    <w:rsid w:val="000A3FFC"/>
    <w:rsid w:val="000A4145"/>
    <w:rsid w:val="000A4B6D"/>
    <w:rsid w:val="000A4DBE"/>
    <w:rsid w:val="000A4EFE"/>
    <w:rsid w:val="000A5101"/>
    <w:rsid w:val="000A5E55"/>
    <w:rsid w:val="000A6684"/>
    <w:rsid w:val="000A6A84"/>
    <w:rsid w:val="000A6E62"/>
    <w:rsid w:val="000B0587"/>
    <w:rsid w:val="000B0D09"/>
    <w:rsid w:val="000B10C7"/>
    <w:rsid w:val="000B1976"/>
    <w:rsid w:val="000B2BDE"/>
    <w:rsid w:val="000B2FB4"/>
    <w:rsid w:val="000B4354"/>
    <w:rsid w:val="000B57AE"/>
    <w:rsid w:val="000B5DC0"/>
    <w:rsid w:val="000B7ACE"/>
    <w:rsid w:val="000C024B"/>
    <w:rsid w:val="000C07AF"/>
    <w:rsid w:val="000C092E"/>
    <w:rsid w:val="000C0AE6"/>
    <w:rsid w:val="000C1447"/>
    <w:rsid w:val="000C206A"/>
    <w:rsid w:val="000C29C5"/>
    <w:rsid w:val="000C3784"/>
    <w:rsid w:val="000C39CC"/>
    <w:rsid w:val="000C3B12"/>
    <w:rsid w:val="000C4114"/>
    <w:rsid w:val="000C5147"/>
    <w:rsid w:val="000C55E4"/>
    <w:rsid w:val="000C5A75"/>
    <w:rsid w:val="000C622E"/>
    <w:rsid w:val="000C6FA4"/>
    <w:rsid w:val="000C7BD5"/>
    <w:rsid w:val="000C7FE0"/>
    <w:rsid w:val="000D0302"/>
    <w:rsid w:val="000D0606"/>
    <w:rsid w:val="000D06C0"/>
    <w:rsid w:val="000D0D6F"/>
    <w:rsid w:val="000D1C34"/>
    <w:rsid w:val="000D1D92"/>
    <w:rsid w:val="000D28B1"/>
    <w:rsid w:val="000D2957"/>
    <w:rsid w:val="000D31D8"/>
    <w:rsid w:val="000D3AD6"/>
    <w:rsid w:val="000D492E"/>
    <w:rsid w:val="000D4D0B"/>
    <w:rsid w:val="000D5438"/>
    <w:rsid w:val="000D587F"/>
    <w:rsid w:val="000D6348"/>
    <w:rsid w:val="000D65A9"/>
    <w:rsid w:val="000D6B29"/>
    <w:rsid w:val="000D7413"/>
    <w:rsid w:val="000D74AC"/>
    <w:rsid w:val="000D7CA2"/>
    <w:rsid w:val="000E02CE"/>
    <w:rsid w:val="000E0D06"/>
    <w:rsid w:val="000E1C3C"/>
    <w:rsid w:val="000E2522"/>
    <w:rsid w:val="000E25A7"/>
    <w:rsid w:val="000E2619"/>
    <w:rsid w:val="000E2F3E"/>
    <w:rsid w:val="000E366F"/>
    <w:rsid w:val="000E379C"/>
    <w:rsid w:val="000E382F"/>
    <w:rsid w:val="000E3F41"/>
    <w:rsid w:val="000E4263"/>
    <w:rsid w:val="000E450A"/>
    <w:rsid w:val="000E4C05"/>
    <w:rsid w:val="000E5C61"/>
    <w:rsid w:val="000E62DC"/>
    <w:rsid w:val="000E6920"/>
    <w:rsid w:val="000E6ADC"/>
    <w:rsid w:val="000E6C03"/>
    <w:rsid w:val="000E77C6"/>
    <w:rsid w:val="000F0DC3"/>
    <w:rsid w:val="000F1633"/>
    <w:rsid w:val="000F1A3C"/>
    <w:rsid w:val="000F280D"/>
    <w:rsid w:val="000F2A9F"/>
    <w:rsid w:val="000F2FF5"/>
    <w:rsid w:val="000F36DE"/>
    <w:rsid w:val="000F3A0B"/>
    <w:rsid w:val="000F3FFD"/>
    <w:rsid w:val="000F41B5"/>
    <w:rsid w:val="000F4619"/>
    <w:rsid w:val="000F5AFF"/>
    <w:rsid w:val="000F7117"/>
    <w:rsid w:val="000F7CFF"/>
    <w:rsid w:val="0010026C"/>
    <w:rsid w:val="0010032A"/>
    <w:rsid w:val="00101026"/>
    <w:rsid w:val="00103073"/>
    <w:rsid w:val="001049DB"/>
    <w:rsid w:val="00104EA3"/>
    <w:rsid w:val="001050E9"/>
    <w:rsid w:val="00106545"/>
    <w:rsid w:val="00107183"/>
    <w:rsid w:val="00107FF7"/>
    <w:rsid w:val="00111377"/>
    <w:rsid w:val="00111B95"/>
    <w:rsid w:val="00112C4D"/>
    <w:rsid w:val="00113B03"/>
    <w:rsid w:val="00114181"/>
    <w:rsid w:val="001142E3"/>
    <w:rsid w:val="00114E78"/>
    <w:rsid w:val="001151CB"/>
    <w:rsid w:val="00115718"/>
    <w:rsid w:val="0012079E"/>
    <w:rsid w:val="00120D42"/>
    <w:rsid w:val="0012135F"/>
    <w:rsid w:val="001218B9"/>
    <w:rsid w:val="00122AD1"/>
    <w:rsid w:val="00122CAF"/>
    <w:rsid w:val="00123854"/>
    <w:rsid w:val="00123C17"/>
    <w:rsid w:val="00123DF7"/>
    <w:rsid w:val="0012459C"/>
    <w:rsid w:val="00124CE8"/>
    <w:rsid w:val="00125083"/>
    <w:rsid w:val="00125B5E"/>
    <w:rsid w:val="00125FBD"/>
    <w:rsid w:val="00126172"/>
    <w:rsid w:val="001262F1"/>
    <w:rsid w:val="0012667D"/>
    <w:rsid w:val="00126727"/>
    <w:rsid w:val="00126B68"/>
    <w:rsid w:val="00126C92"/>
    <w:rsid w:val="001270FD"/>
    <w:rsid w:val="00127E00"/>
    <w:rsid w:val="00130D25"/>
    <w:rsid w:val="001321FA"/>
    <w:rsid w:val="00133016"/>
    <w:rsid w:val="0013382F"/>
    <w:rsid w:val="00136AEC"/>
    <w:rsid w:val="001400A0"/>
    <w:rsid w:val="00140630"/>
    <w:rsid w:val="00140CC9"/>
    <w:rsid w:val="001411A7"/>
    <w:rsid w:val="00141E2D"/>
    <w:rsid w:val="00142AAA"/>
    <w:rsid w:val="00144907"/>
    <w:rsid w:val="00144A5F"/>
    <w:rsid w:val="001459A1"/>
    <w:rsid w:val="001462F5"/>
    <w:rsid w:val="00147985"/>
    <w:rsid w:val="00147E82"/>
    <w:rsid w:val="001506C6"/>
    <w:rsid w:val="00150B34"/>
    <w:rsid w:val="00150D09"/>
    <w:rsid w:val="00151317"/>
    <w:rsid w:val="00151864"/>
    <w:rsid w:val="00152785"/>
    <w:rsid w:val="00153F47"/>
    <w:rsid w:val="0015457D"/>
    <w:rsid w:val="0015471B"/>
    <w:rsid w:val="0015665E"/>
    <w:rsid w:val="00156731"/>
    <w:rsid w:val="001567DF"/>
    <w:rsid w:val="001573FC"/>
    <w:rsid w:val="00157875"/>
    <w:rsid w:val="001578BB"/>
    <w:rsid w:val="00157ADE"/>
    <w:rsid w:val="00157B1B"/>
    <w:rsid w:val="00157BE2"/>
    <w:rsid w:val="00157EF7"/>
    <w:rsid w:val="0016046C"/>
    <w:rsid w:val="0016134F"/>
    <w:rsid w:val="00161362"/>
    <w:rsid w:val="001624C8"/>
    <w:rsid w:val="001666B8"/>
    <w:rsid w:val="00166BC7"/>
    <w:rsid w:val="00167E2E"/>
    <w:rsid w:val="0017013C"/>
    <w:rsid w:val="00170223"/>
    <w:rsid w:val="00170539"/>
    <w:rsid w:val="00170E16"/>
    <w:rsid w:val="00171709"/>
    <w:rsid w:val="00172EA0"/>
    <w:rsid w:val="00173912"/>
    <w:rsid w:val="0017472B"/>
    <w:rsid w:val="00174BF9"/>
    <w:rsid w:val="001756C9"/>
    <w:rsid w:val="00175A4F"/>
    <w:rsid w:val="001771B2"/>
    <w:rsid w:val="0017723B"/>
    <w:rsid w:val="00180A25"/>
    <w:rsid w:val="00180CDA"/>
    <w:rsid w:val="00181E20"/>
    <w:rsid w:val="00182A8F"/>
    <w:rsid w:val="00182E24"/>
    <w:rsid w:val="00183C33"/>
    <w:rsid w:val="001841E3"/>
    <w:rsid w:val="00184247"/>
    <w:rsid w:val="00184C4C"/>
    <w:rsid w:val="00185C55"/>
    <w:rsid w:val="00186BF1"/>
    <w:rsid w:val="00187141"/>
    <w:rsid w:val="001871B2"/>
    <w:rsid w:val="001873CD"/>
    <w:rsid w:val="001911FA"/>
    <w:rsid w:val="00191F4C"/>
    <w:rsid w:val="001920BB"/>
    <w:rsid w:val="001921AC"/>
    <w:rsid w:val="001923BF"/>
    <w:rsid w:val="001931D6"/>
    <w:rsid w:val="00193EF3"/>
    <w:rsid w:val="0019487B"/>
    <w:rsid w:val="00194D0E"/>
    <w:rsid w:val="00194F1D"/>
    <w:rsid w:val="001964C1"/>
    <w:rsid w:val="00196973"/>
    <w:rsid w:val="00196E78"/>
    <w:rsid w:val="00197FE3"/>
    <w:rsid w:val="001A0681"/>
    <w:rsid w:val="001A1479"/>
    <w:rsid w:val="001A19B1"/>
    <w:rsid w:val="001A3E9C"/>
    <w:rsid w:val="001A47E1"/>
    <w:rsid w:val="001A5FD0"/>
    <w:rsid w:val="001A6099"/>
    <w:rsid w:val="001A64C8"/>
    <w:rsid w:val="001A6F43"/>
    <w:rsid w:val="001A7713"/>
    <w:rsid w:val="001A795B"/>
    <w:rsid w:val="001B0493"/>
    <w:rsid w:val="001B09B8"/>
    <w:rsid w:val="001B160E"/>
    <w:rsid w:val="001B1D83"/>
    <w:rsid w:val="001B1D96"/>
    <w:rsid w:val="001B2A27"/>
    <w:rsid w:val="001B2FF3"/>
    <w:rsid w:val="001B35ED"/>
    <w:rsid w:val="001B3A65"/>
    <w:rsid w:val="001B4A34"/>
    <w:rsid w:val="001B6462"/>
    <w:rsid w:val="001B6490"/>
    <w:rsid w:val="001B725F"/>
    <w:rsid w:val="001C0036"/>
    <w:rsid w:val="001C11F1"/>
    <w:rsid w:val="001C1562"/>
    <w:rsid w:val="001C2460"/>
    <w:rsid w:val="001C2558"/>
    <w:rsid w:val="001C2749"/>
    <w:rsid w:val="001C470B"/>
    <w:rsid w:val="001C5BD9"/>
    <w:rsid w:val="001C673B"/>
    <w:rsid w:val="001C6875"/>
    <w:rsid w:val="001C6A79"/>
    <w:rsid w:val="001D0CC6"/>
    <w:rsid w:val="001D0E56"/>
    <w:rsid w:val="001D12C3"/>
    <w:rsid w:val="001D1712"/>
    <w:rsid w:val="001D2A99"/>
    <w:rsid w:val="001D33B0"/>
    <w:rsid w:val="001D4465"/>
    <w:rsid w:val="001D4890"/>
    <w:rsid w:val="001D4E86"/>
    <w:rsid w:val="001D708A"/>
    <w:rsid w:val="001D7AF7"/>
    <w:rsid w:val="001D7B51"/>
    <w:rsid w:val="001D7DF5"/>
    <w:rsid w:val="001D7E16"/>
    <w:rsid w:val="001E0962"/>
    <w:rsid w:val="001E10B7"/>
    <w:rsid w:val="001E10D6"/>
    <w:rsid w:val="001E11D5"/>
    <w:rsid w:val="001E17B4"/>
    <w:rsid w:val="001E1CD7"/>
    <w:rsid w:val="001E42C6"/>
    <w:rsid w:val="001E49D6"/>
    <w:rsid w:val="001E5742"/>
    <w:rsid w:val="001E59A2"/>
    <w:rsid w:val="001E5B13"/>
    <w:rsid w:val="001E5D45"/>
    <w:rsid w:val="001E768E"/>
    <w:rsid w:val="001E7A0C"/>
    <w:rsid w:val="001E7C6D"/>
    <w:rsid w:val="001F1EB8"/>
    <w:rsid w:val="001F1FF6"/>
    <w:rsid w:val="001F208F"/>
    <w:rsid w:val="001F2824"/>
    <w:rsid w:val="001F296B"/>
    <w:rsid w:val="001F2A06"/>
    <w:rsid w:val="001F3F22"/>
    <w:rsid w:val="001F49B0"/>
    <w:rsid w:val="001F4BFF"/>
    <w:rsid w:val="001F5033"/>
    <w:rsid w:val="001F562D"/>
    <w:rsid w:val="001F61ED"/>
    <w:rsid w:val="001F7255"/>
    <w:rsid w:val="001F7427"/>
    <w:rsid w:val="0020001C"/>
    <w:rsid w:val="002000E3"/>
    <w:rsid w:val="002005D7"/>
    <w:rsid w:val="002006F7"/>
    <w:rsid w:val="00200AA5"/>
    <w:rsid w:val="00200B46"/>
    <w:rsid w:val="00200F61"/>
    <w:rsid w:val="00202CD7"/>
    <w:rsid w:val="00202F71"/>
    <w:rsid w:val="00203934"/>
    <w:rsid w:val="0020397F"/>
    <w:rsid w:val="00203E6C"/>
    <w:rsid w:val="0020475D"/>
    <w:rsid w:val="00206519"/>
    <w:rsid w:val="00207A2A"/>
    <w:rsid w:val="002107A8"/>
    <w:rsid w:val="00210FE4"/>
    <w:rsid w:val="00211DF2"/>
    <w:rsid w:val="00211E77"/>
    <w:rsid w:val="00212BD7"/>
    <w:rsid w:val="00213465"/>
    <w:rsid w:val="002137CC"/>
    <w:rsid w:val="00213B15"/>
    <w:rsid w:val="00214E52"/>
    <w:rsid w:val="00215327"/>
    <w:rsid w:val="0021689C"/>
    <w:rsid w:val="00216A26"/>
    <w:rsid w:val="00217104"/>
    <w:rsid w:val="002172AC"/>
    <w:rsid w:val="00217332"/>
    <w:rsid w:val="0021779A"/>
    <w:rsid w:val="00217F83"/>
    <w:rsid w:val="002210F1"/>
    <w:rsid w:val="00222BD4"/>
    <w:rsid w:val="00223A53"/>
    <w:rsid w:val="00223DA8"/>
    <w:rsid w:val="00223F39"/>
    <w:rsid w:val="00224958"/>
    <w:rsid w:val="00225526"/>
    <w:rsid w:val="00225922"/>
    <w:rsid w:val="00226BAC"/>
    <w:rsid w:val="002276EE"/>
    <w:rsid w:val="00227DFF"/>
    <w:rsid w:val="00227E28"/>
    <w:rsid w:val="002305AA"/>
    <w:rsid w:val="00230917"/>
    <w:rsid w:val="00230A83"/>
    <w:rsid w:val="00230C8C"/>
    <w:rsid w:val="00230CBB"/>
    <w:rsid w:val="00231E65"/>
    <w:rsid w:val="00231E66"/>
    <w:rsid w:val="0023209A"/>
    <w:rsid w:val="00232611"/>
    <w:rsid w:val="00233BC1"/>
    <w:rsid w:val="00233C92"/>
    <w:rsid w:val="00233CCD"/>
    <w:rsid w:val="00234BF8"/>
    <w:rsid w:val="00234E4E"/>
    <w:rsid w:val="0023550F"/>
    <w:rsid w:val="00236798"/>
    <w:rsid w:val="00236C17"/>
    <w:rsid w:val="00236D76"/>
    <w:rsid w:val="00236EBB"/>
    <w:rsid w:val="00237116"/>
    <w:rsid w:val="00237594"/>
    <w:rsid w:val="0023792B"/>
    <w:rsid w:val="002400FB"/>
    <w:rsid w:val="00240329"/>
    <w:rsid w:val="00240A66"/>
    <w:rsid w:val="00240CE9"/>
    <w:rsid w:val="002419E7"/>
    <w:rsid w:val="00241B61"/>
    <w:rsid w:val="00241F38"/>
    <w:rsid w:val="00244725"/>
    <w:rsid w:val="00245316"/>
    <w:rsid w:val="00245342"/>
    <w:rsid w:val="002455F8"/>
    <w:rsid w:val="00246855"/>
    <w:rsid w:val="0024691D"/>
    <w:rsid w:val="002469FD"/>
    <w:rsid w:val="002471B2"/>
    <w:rsid w:val="0024797F"/>
    <w:rsid w:val="00247EFD"/>
    <w:rsid w:val="00247FB2"/>
    <w:rsid w:val="00251FB3"/>
    <w:rsid w:val="00252DD0"/>
    <w:rsid w:val="00253040"/>
    <w:rsid w:val="002534D2"/>
    <w:rsid w:val="00253FFC"/>
    <w:rsid w:val="00254052"/>
    <w:rsid w:val="0025423E"/>
    <w:rsid w:val="00254459"/>
    <w:rsid w:val="00254627"/>
    <w:rsid w:val="00257233"/>
    <w:rsid w:val="00260461"/>
    <w:rsid w:val="00260E34"/>
    <w:rsid w:val="00260E7F"/>
    <w:rsid w:val="00261838"/>
    <w:rsid w:val="00262597"/>
    <w:rsid w:val="00262CAA"/>
    <w:rsid w:val="002637FE"/>
    <w:rsid w:val="00263D3C"/>
    <w:rsid w:val="00265035"/>
    <w:rsid w:val="0026524F"/>
    <w:rsid w:val="002670E9"/>
    <w:rsid w:val="0026710B"/>
    <w:rsid w:val="0026738C"/>
    <w:rsid w:val="00275191"/>
    <w:rsid w:val="0027692F"/>
    <w:rsid w:val="00276949"/>
    <w:rsid w:val="0028053D"/>
    <w:rsid w:val="0028072D"/>
    <w:rsid w:val="00281589"/>
    <w:rsid w:val="00281E84"/>
    <w:rsid w:val="00282B48"/>
    <w:rsid w:val="00283713"/>
    <w:rsid w:val="0028373C"/>
    <w:rsid w:val="00283B71"/>
    <w:rsid w:val="002843B7"/>
    <w:rsid w:val="0028453D"/>
    <w:rsid w:val="00284E3F"/>
    <w:rsid w:val="00286C6D"/>
    <w:rsid w:val="00286DFA"/>
    <w:rsid w:val="002870F9"/>
    <w:rsid w:val="002877F4"/>
    <w:rsid w:val="002901A3"/>
    <w:rsid w:val="002901F3"/>
    <w:rsid w:val="00290CC2"/>
    <w:rsid w:val="00292C26"/>
    <w:rsid w:val="0029387B"/>
    <w:rsid w:val="0029659E"/>
    <w:rsid w:val="002972FD"/>
    <w:rsid w:val="00297BEE"/>
    <w:rsid w:val="002A0120"/>
    <w:rsid w:val="002A2374"/>
    <w:rsid w:val="002A346F"/>
    <w:rsid w:val="002A35F5"/>
    <w:rsid w:val="002A3718"/>
    <w:rsid w:val="002A37D4"/>
    <w:rsid w:val="002A51B3"/>
    <w:rsid w:val="002A544A"/>
    <w:rsid w:val="002A57CC"/>
    <w:rsid w:val="002A5FBD"/>
    <w:rsid w:val="002A698E"/>
    <w:rsid w:val="002A69FC"/>
    <w:rsid w:val="002A6E7E"/>
    <w:rsid w:val="002B0BE1"/>
    <w:rsid w:val="002B1268"/>
    <w:rsid w:val="002B151D"/>
    <w:rsid w:val="002B18D5"/>
    <w:rsid w:val="002B1933"/>
    <w:rsid w:val="002B1DFC"/>
    <w:rsid w:val="002B31F9"/>
    <w:rsid w:val="002B3C25"/>
    <w:rsid w:val="002B4140"/>
    <w:rsid w:val="002B476D"/>
    <w:rsid w:val="002B4FEE"/>
    <w:rsid w:val="002B5B43"/>
    <w:rsid w:val="002B6089"/>
    <w:rsid w:val="002B7307"/>
    <w:rsid w:val="002C0119"/>
    <w:rsid w:val="002C18D4"/>
    <w:rsid w:val="002C27AA"/>
    <w:rsid w:val="002C3C10"/>
    <w:rsid w:val="002C3D2E"/>
    <w:rsid w:val="002C4EEA"/>
    <w:rsid w:val="002C530A"/>
    <w:rsid w:val="002C5836"/>
    <w:rsid w:val="002C5D0E"/>
    <w:rsid w:val="002C6303"/>
    <w:rsid w:val="002C7DFB"/>
    <w:rsid w:val="002D04B0"/>
    <w:rsid w:val="002D1613"/>
    <w:rsid w:val="002D2664"/>
    <w:rsid w:val="002D3E55"/>
    <w:rsid w:val="002D498A"/>
    <w:rsid w:val="002D4AFA"/>
    <w:rsid w:val="002D4B4F"/>
    <w:rsid w:val="002D54DF"/>
    <w:rsid w:val="002D7943"/>
    <w:rsid w:val="002D7EC6"/>
    <w:rsid w:val="002E09D3"/>
    <w:rsid w:val="002E0BF0"/>
    <w:rsid w:val="002E12FE"/>
    <w:rsid w:val="002E207C"/>
    <w:rsid w:val="002E3531"/>
    <w:rsid w:val="002E3758"/>
    <w:rsid w:val="002E47BA"/>
    <w:rsid w:val="002E4AE0"/>
    <w:rsid w:val="002E4B3B"/>
    <w:rsid w:val="002E75CF"/>
    <w:rsid w:val="002E7F50"/>
    <w:rsid w:val="002F00F8"/>
    <w:rsid w:val="002F0BA5"/>
    <w:rsid w:val="002F12A6"/>
    <w:rsid w:val="002F1D71"/>
    <w:rsid w:val="002F318A"/>
    <w:rsid w:val="002F33D6"/>
    <w:rsid w:val="002F6653"/>
    <w:rsid w:val="002F6AD0"/>
    <w:rsid w:val="003001F6"/>
    <w:rsid w:val="00300295"/>
    <w:rsid w:val="00300B8D"/>
    <w:rsid w:val="00300D4A"/>
    <w:rsid w:val="00301E76"/>
    <w:rsid w:val="003022B5"/>
    <w:rsid w:val="00304DFD"/>
    <w:rsid w:val="00305620"/>
    <w:rsid w:val="003056D6"/>
    <w:rsid w:val="00305EBC"/>
    <w:rsid w:val="00306320"/>
    <w:rsid w:val="00306EBA"/>
    <w:rsid w:val="00306F06"/>
    <w:rsid w:val="00307292"/>
    <w:rsid w:val="00310C5A"/>
    <w:rsid w:val="0031182A"/>
    <w:rsid w:val="003130A9"/>
    <w:rsid w:val="00313D3F"/>
    <w:rsid w:val="00313DB0"/>
    <w:rsid w:val="00314014"/>
    <w:rsid w:val="00314078"/>
    <w:rsid w:val="00314465"/>
    <w:rsid w:val="003167F0"/>
    <w:rsid w:val="00316B21"/>
    <w:rsid w:val="00316C0A"/>
    <w:rsid w:val="00317E33"/>
    <w:rsid w:val="00317F58"/>
    <w:rsid w:val="00320191"/>
    <w:rsid w:val="00321D17"/>
    <w:rsid w:val="003224C8"/>
    <w:rsid w:val="00322772"/>
    <w:rsid w:val="00322D5A"/>
    <w:rsid w:val="003242D8"/>
    <w:rsid w:val="00324452"/>
    <w:rsid w:val="0032475A"/>
    <w:rsid w:val="003247BC"/>
    <w:rsid w:val="003250ED"/>
    <w:rsid w:val="00325711"/>
    <w:rsid w:val="00325CC2"/>
    <w:rsid w:val="00326660"/>
    <w:rsid w:val="003269A9"/>
    <w:rsid w:val="00327081"/>
    <w:rsid w:val="0032769E"/>
    <w:rsid w:val="00327F4D"/>
    <w:rsid w:val="003304EA"/>
    <w:rsid w:val="00332B63"/>
    <w:rsid w:val="00332D8C"/>
    <w:rsid w:val="00333879"/>
    <w:rsid w:val="00334D70"/>
    <w:rsid w:val="003352DB"/>
    <w:rsid w:val="00335395"/>
    <w:rsid w:val="00336E55"/>
    <w:rsid w:val="00337E8F"/>
    <w:rsid w:val="00340AD3"/>
    <w:rsid w:val="00341584"/>
    <w:rsid w:val="003418F3"/>
    <w:rsid w:val="00341D6C"/>
    <w:rsid w:val="00341FA0"/>
    <w:rsid w:val="00342190"/>
    <w:rsid w:val="003426A5"/>
    <w:rsid w:val="0034371F"/>
    <w:rsid w:val="00343907"/>
    <w:rsid w:val="003477D2"/>
    <w:rsid w:val="00347EE3"/>
    <w:rsid w:val="00350338"/>
    <w:rsid w:val="003512D2"/>
    <w:rsid w:val="003517E4"/>
    <w:rsid w:val="00351A1C"/>
    <w:rsid w:val="00352B68"/>
    <w:rsid w:val="00353B3D"/>
    <w:rsid w:val="00353C26"/>
    <w:rsid w:val="00353D02"/>
    <w:rsid w:val="00355036"/>
    <w:rsid w:val="00355080"/>
    <w:rsid w:val="00355E0A"/>
    <w:rsid w:val="00356842"/>
    <w:rsid w:val="003568C8"/>
    <w:rsid w:val="00356DB4"/>
    <w:rsid w:val="003605A6"/>
    <w:rsid w:val="0036081C"/>
    <w:rsid w:val="00360959"/>
    <w:rsid w:val="00361164"/>
    <w:rsid w:val="00362126"/>
    <w:rsid w:val="0036399D"/>
    <w:rsid w:val="00363AE4"/>
    <w:rsid w:val="00363F6C"/>
    <w:rsid w:val="00364462"/>
    <w:rsid w:val="00364764"/>
    <w:rsid w:val="00364B7B"/>
    <w:rsid w:val="003655A1"/>
    <w:rsid w:val="00366C2E"/>
    <w:rsid w:val="00366C48"/>
    <w:rsid w:val="00366CC6"/>
    <w:rsid w:val="00366F1E"/>
    <w:rsid w:val="003674E1"/>
    <w:rsid w:val="00367B32"/>
    <w:rsid w:val="00370756"/>
    <w:rsid w:val="00370AF3"/>
    <w:rsid w:val="00370CB8"/>
    <w:rsid w:val="00371301"/>
    <w:rsid w:val="00372D93"/>
    <w:rsid w:val="00373F41"/>
    <w:rsid w:val="003758F1"/>
    <w:rsid w:val="00375E3B"/>
    <w:rsid w:val="003764AB"/>
    <w:rsid w:val="00376576"/>
    <w:rsid w:val="00376FD3"/>
    <w:rsid w:val="003778B3"/>
    <w:rsid w:val="00377EC2"/>
    <w:rsid w:val="00380B3D"/>
    <w:rsid w:val="00380FB9"/>
    <w:rsid w:val="003815B9"/>
    <w:rsid w:val="00381DAD"/>
    <w:rsid w:val="0038223D"/>
    <w:rsid w:val="003833FD"/>
    <w:rsid w:val="00383569"/>
    <w:rsid w:val="00383D98"/>
    <w:rsid w:val="0038411E"/>
    <w:rsid w:val="003845DA"/>
    <w:rsid w:val="0038527A"/>
    <w:rsid w:val="00386EBC"/>
    <w:rsid w:val="00386EFE"/>
    <w:rsid w:val="003871CE"/>
    <w:rsid w:val="0039057A"/>
    <w:rsid w:val="003918C4"/>
    <w:rsid w:val="003931C4"/>
    <w:rsid w:val="00393B15"/>
    <w:rsid w:val="003950B8"/>
    <w:rsid w:val="00395F06"/>
    <w:rsid w:val="0039786A"/>
    <w:rsid w:val="003A0C5D"/>
    <w:rsid w:val="003A149E"/>
    <w:rsid w:val="003A15FD"/>
    <w:rsid w:val="003A1AB9"/>
    <w:rsid w:val="003A2D0C"/>
    <w:rsid w:val="003A307A"/>
    <w:rsid w:val="003A33C4"/>
    <w:rsid w:val="003A3545"/>
    <w:rsid w:val="003A39E9"/>
    <w:rsid w:val="003A3EAE"/>
    <w:rsid w:val="003A4108"/>
    <w:rsid w:val="003A443A"/>
    <w:rsid w:val="003A5444"/>
    <w:rsid w:val="003A5DE0"/>
    <w:rsid w:val="003A600F"/>
    <w:rsid w:val="003A64F1"/>
    <w:rsid w:val="003A6CBE"/>
    <w:rsid w:val="003A6F22"/>
    <w:rsid w:val="003A6FE5"/>
    <w:rsid w:val="003A7695"/>
    <w:rsid w:val="003B0788"/>
    <w:rsid w:val="003B2541"/>
    <w:rsid w:val="003B2688"/>
    <w:rsid w:val="003B26BC"/>
    <w:rsid w:val="003B2EDF"/>
    <w:rsid w:val="003B32B6"/>
    <w:rsid w:val="003B3493"/>
    <w:rsid w:val="003B36D3"/>
    <w:rsid w:val="003B3963"/>
    <w:rsid w:val="003B3E9E"/>
    <w:rsid w:val="003B42A3"/>
    <w:rsid w:val="003B4526"/>
    <w:rsid w:val="003B4652"/>
    <w:rsid w:val="003B46E9"/>
    <w:rsid w:val="003B4E49"/>
    <w:rsid w:val="003B613F"/>
    <w:rsid w:val="003B65CB"/>
    <w:rsid w:val="003B669E"/>
    <w:rsid w:val="003B6E54"/>
    <w:rsid w:val="003C0BE7"/>
    <w:rsid w:val="003C204B"/>
    <w:rsid w:val="003C3279"/>
    <w:rsid w:val="003C3C74"/>
    <w:rsid w:val="003C3F8D"/>
    <w:rsid w:val="003C441C"/>
    <w:rsid w:val="003C448A"/>
    <w:rsid w:val="003C44EF"/>
    <w:rsid w:val="003C48EC"/>
    <w:rsid w:val="003C7F9C"/>
    <w:rsid w:val="003D19C5"/>
    <w:rsid w:val="003D19DE"/>
    <w:rsid w:val="003D22DF"/>
    <w:rsid w:val="003D22FD"/>
    <w:rsid w:val="003D2598"/>
    <w:rsid w:val="003D2EF6"/>
    <w:rsid w:val="003D3560"/>
    <w:rsid w:val="003D396F"/>
    <w:rsid w:val="003D3E7C"/>
    <w:rsid w:val="003D5068"/>
    <w:rsid w:val="003D5083"/>
    <w:rsid w:val="003D5C52"/>
    <w:rsid w:val="003D6C7E"/>
    <w:rsid w:val="003D7A78"/>
    <w:rsid w:val="003E0037"/>
    <w:rsid w:val="003E0981"/>
    <w:rsid w:val="003E267A"/>
    <w:rsid w:val="003E2FD0"/>
    <w:rsid w:val="003E3C63"/>
    <w:rsid w:val="003E5A55"/>
    <w:rsid w:val="003E610B"/>
    <w:rsid w:val="003E620E"/>
    <w:rsid w:val="003E6AF3"/>
    <w:rsid w:val="003E6F92"/>
    <w:rsid w:val="003E795C"/>
    <w:rsid w:val="003E7B54"/>
    <w:rsid w:val="003E7D02"/>
    <w:rsid w:val="003F0558"/>
    <w:rsid w:val="003F1981"/>
    <w:rsid w:val="003F2007"/>
    <w:rsid w:val="003F241C"/>
    <w:rsid w:val="003F2B02"/>
    <w:rsid w:val="003F3108"/>
    <w:rsid w:val="003F31D5"/>
    <w:rsid w:val="003F38D2"/>
    <w:rsid w:val="003F39C8"/>
    <w:rsid w:val="003F3A1E"/>
    <w:rsid w:val="003F400A"/>
    <w:rsid w:val="003F47C3"/>
    <w:rsid w:val="003F5EAE"/>
    <w:rsid w:val="003F5EF5"/>
    <w:rsid w:val="003F642B"/>
    <w:rsid w:val="003F6790"/>
    <w:rsid w:val="003F6871"/>
    <w:rsid w:val="003F6B2D"/>
    <w:rsid w:val="003F6EF3"/>
    <w:rsid w:val="003F7962"/>
    <w:rsid w:val="004023E5"/>
    <w:rsid w:val="004025B5"/>
    <w:rsid w:val="00402F96"/>
    <w:rsid w:val="0040376D"/>
    <w:rsid w:val="00403AB3"/>
    <w:rsid w:val="004043DF"/>
    <w:rsid w:val="004056D4"/>
    <w:rsid w:val="00405848"/>
    <w:rsid w:val="00405B10"/>
    <w:rsid w:val="00405E43"/>
    <w:rsid w:val="00406C2F"/>
    <w:rsid w:val="00406E80"/>
    <w:rsid w:val="00407D09"/>
    <w:rsid w:val="00407F9D"/>
    <w:rsid w:val="00410596"/>
    <w:rsid w:val="004105F1"/>
    <w:rsid w:val="004143F0"/>
    <w:rsid w:val="004144C0"/>
    <w:rsid w:val="0041640E"/>
    <w:rsid w:val="00420439"/>
    <w:rsid w:val="0042093A"/>
    <w:rsid w:val="00420BA2"/>
    <w:rsid w:val="0042198B"/>
    <w:rsid w:val="004236B4"/>
    <w:rsid w:val="00423839"/>
    <w:rsid w:val="00423B2E"/>
    <w:rsid w:val="00424CE6"/>
    <w:rsid w:val="004254AB"/>
    <w:rsid w:val="00426269"/>
    <w:rsid w:val="00426BF9"/>
    <w:rsid w:val="00426C99"/>
    <w:rsid w:val="00427278"/>
    <w:rsid w:val="00427D5D"/>
    <w:rsid w:val="004307DD"/>
    <w:rsid w:val="004310F8"/>
    <w:rsid w:val="00431202"/>
    <w:rsid w:val="004318DB"/>
    <w:rsid w:val="00431C32"/>
    <w:rsid w:val="004335DE"/>
    <w:rsid w:val="004337AC"/>
    <w:rsid w:val="00434614"/>
    <w:rsid w:val="004356F5"/>
    <w:rsid w:val="00435D2D"/>
    <w:rsid w:val="00436664"/>
    <w:rsid w:val="004373A5"/>
    <w:rsid w:val="00437C4E"/>
    <w:rsid w:val="00440444"/>
    <w:rsid w:val="00440578"/>
    <w:rsid w:val="00441253"/>
    <w:rsid w:val="0044160E"/>
    <w:rsid w:val="004419B3"/>
    <w:rsid w:val="0044277D"/>
    <w:rsid w:val="0044322F"/>
    <w:rsid w:val="004465FF"/>
    <w:rsid w:val="00446B89"/>
    <w:rsid w:val="00450CD7"/>
    <w:rsid w:val="00450EB1"/>
    <w:rsid w:val="00451FBF"/>
    <w:rsid w:val="00452F23"/>
    <w:rsid w:val="00453460"/>
    <w:rsid w:val="0045349F"/>
    <w:rsid w:val="0045426F"/>
    <w:rsid w:val="00455079"/>
    <w:rsid w:val="0045651D"/>
    <w:rsid w:val="00460BAF"/>
    <w:rsid w:val="00461F20"/>
    <w:rsid w:val="0046253E"/>
    <w:rsid w:val="00463741"/>
    <w:rsid w:val="00464161"/>
    <w:rsid w:val="00465AC6"/>
    <w:rsid w:val="00465DEF"/>
    <w:rsid w:val="00470A79"/>
    <w:rsid w:val="00471304"/>
    <w:rsid w:val="00471A05"/>
    <w:rsid w:val="00471C74"/>
    <w:rsid w:val="0047267A"/>
    <w:rsid w:val="00472DF4"/>
    <w:rsid w:val="00473286"/>
    <w:rsid w:val="0047427C"/>
    <w:rsid w:val="0047483F"/>
    <w:rsid w:val="004750C2"/>
    <w:rsid w:val="0047680C"/>
    <w:rsid w:val="004816DC"/>
    <w:rsid w:val="00484DE0"/>
    <w:rsid w:val="00485306"/>
    <w:rsid w:val="004857F4"/>
    <w:rsid w:val="0048586A"/>
    <w:rsid w:val="00486A15"/>
    <w:rsid w:val="00486B72"/>
    <w:rsid w:val="004872A8"/>
    <w:rsid w:val="0049020B"/>
    <w:rsid w:val="00490E85"/>
    <w:rsid w:val="004911E3"/>
    <w:rsid w:val="00491AEF"/>
    <w:rsid w:val="00492453"/>
    <w:rsid w:val="00492B0A"/>
    <w:rsid w:val="00493568"/>
    <w:rsid w:val="00493662"/>
    <w:rsid w:val="00494A7E"/>
    <w:rsid w:val="00494CB9"/>
    <w:rsid w:val="00494E65"/>
    <w:rsid w:val="00495BF0"/>
    <w:rsid w:val="004961F6"/>
    <w:rsid w:val="0049691A"/>
    <w:rsid w:val="0049799E"/>
    <w:rsid w:val="004A3140"/>
    <w:rsid w:val="004A51BE"/>
    <w:rsid w:val="004A57F0"/>
    <w:rsid w:val="004A5A91"/>
    <w:rsid w:val="004A5FFD"/>
    <w:rsid w:val="004A617E"/>
    <w:rsid w:val="004A6F46"/>
    <w:rsid w:val="004B06F2"/>
    <w:rsid w:val="004B0D92"/>
    <w:rsid w:val="004B0F7B"/>
    <w:rsid w:val="004B1593"/>
    <w:rsid w:val="004B16E3"/>
    <w:rsid w:val="004B27F4"/>
    <w:rsid w:val="004B28D3"/>
    <w:rsid w:val="004B29CD"/>
    <w:rsid w:val="004B2D1D"/>
    <w:rsid w:val="004B350A"/>
    <w:rsid w:val="004B3868"/>
    <w:rsid w:val="004B4BAC"/>
    <w:rsid w:val="004B527B"/>
    <w:rsid w:val="004B6429"/>
    <w:rsid w:val="004B6A09"/>
    <w:rsid w:val="004B6E28"/>
    <w:rsid w:val="004B6FC4"/>
    <w:rsid w:val="004B7013"/>
    <w:rsid w:val="004B7217"/>
    <w:rsid w:val="004B7A85"/>
    <w:rsid w:val="004C02EE"/>
    <w:rsid w:val="004C05F1"/>
    <w:rsid w:val="004C09E7"/>
    <w:rsid w:val="004C13BE"/>
    <w:rsid w:val="004C277E"/>
    <w:rsid w:val="004C4149"/>
    <w:rsid w:val="004C4A48"/>
    <w:rsid w:val="004C4E4A"/>
    <w:rsid w:val="004C548B"/>
    <w:rsid w:val="004C5D93"/>
    <w:rsid w:val="004C6D62"/>
    <w:rsid w:val="004C6E29"/>
    <w:rsid w:val="004C78F1"/>
    <w:rsid w:val="004D03A9"/>
    <w:rsid w:val="004D0AF7"/>
    <w:rsid w:val="004D0DE8"/>
    <w:rsid w:val="004D10E4"/>
    <w:rsid w:val="004D11C3"/>
    <w:rsid w:val="004D1940"/>
    <w:rsid w:val="004D2331"/>
    <w:rsid w:val="004D2F6A"/>
    <w:rsid w:val="004D34DD"/>
    <w:rsid w:val="004D398D"/>
    <w:rsid w:val="004D4521"/>
    <w:rsid w:val="004D578A"/>
    <w:rsid w:val="004D5830"/>
    <w:rsid w:val="004D6088"/>
    <w:rsid w:val="004D6710"/>
    <w:rsid w:val="004D6E50"/>
    <w:rsid w:val="004E0485"/>
    <w:rsid w:val="004E0F83"/>
    <w:rsid w:val="004E125C"/>
    <w:rsid w:val="004E158B"/>
    <w:rsid w:val="004E1E2E"/>
    <w:rsid w:val="004E2635"/>
    <w:rsid w:val="004E3CD4"/>
    <w:rsid w:val="004E41B5"/>
    <w:rsid w:val="004E4786"/>
    <w:rsid w:val="004E494C"/>
    <w:rsid w:val="004E51D3"/>
    <w:rsid w:val="004E56CA"/>
    <w:rsid w:val="004E6901"/>
    <w:rsid w:val="004E6D3F"/>
    <w:rsid w:val="004F001E"/>
    <w:rsid w:val="004F171F"/>
    <w:rsid w:val="004F247C"/>
    <w:rsid w:val="004F2684"/>
    <w:rsid w:val="004F2D42"/>
    <w:rsid w:val="004F3820"/>
    <w:rsid w:val="004F49F1"/>
    <w:rsid w:val="004F63B0"/>
    <w:rsid w:val="004F6668"/>
    <w:rsid w:val="004F6FBC"/>
    <w:rsid w:val="004F7876"/>
    <w:rsid w:val="0050067C"/>
    <w:rsid w:val="005008B9"/>
    <w:rsid w:val="00502D08"/>
    <w:rsid w:val="0050336E"/>
    <w:rsid w:val="00504173"/>
    <w:rsid w:val="00504332"/>
    <w:rsid w:val="005043E8"/>
    <w:rsid w:val="00504FAB"/>
    <w:rsid w:val="005054BD"/>
    <w:rsid w:val="00505B8E"/>
    <w:rsid w:val="00505F9E"/>
    <w:rsid w:val="0050640A"/>
    <w:rsid w:val="00506A77"/>
    <w:rsid w:val="00507531"/>
    <w:rsid w:val="00507C29"/>
    <w:rsid w:val="00507DA1"/>
    <w:rsid w:val="005100A1"/>
    <w:rsid w:val="005110DA"/>
    <w:rsid w:val="00511CD6"/>
    <w:rsid w:val="00512165"/>
    <w:rsid w:val="005130BC"/>
    <w:rsid w:val="00513C07"/>
    <w:rsid w:val="00513F88"/>
    <w:rsid w:val="0051417E"/>
    <w:rsid w:val="00516A50"/>
    <w:rsid w:val="00516EBD"/>
    <w:rsid w:val="005178D2"/>
    <w:rsid w:val="00520C05"/>
    <w:rsid w:val="00521395"/>
    <w:rsid w:val="005219D3"/>
    <w:rsid w:val="00521A18"/>
    <w:rsid w:val="005224DB"/>
    <w:rsid w:val="00522BE9"/>
    <w:rsid w:val="00523148"/>
    <w:rsid w:val="00523493"/>
    <w:rsid w:val="00524534"/>
    <w:rsid w:val="0052455D"/>
    <w:rsid w:val="0052582F"/>
    <w:rsid w:val="005258D6"/>
    <w:rsid w:val="0052597B"/>
    <w:rsid w:val="00525C21"/>
    <w:rsid w:val="00526058"/>
    <w:rsid w:val="00527CF5"/>
    <w:rsid w:val="00527D53"/>
    <w:rsid w:val="00530019"/>
    <w:rsid w:val="00530E64"/>
    <w:rsid w:val="005310E4"/>
    <w:rsid w:val="00531F8C"/>
    <w:rsid w:val="005322E4"/>
    <w:rsid w:val="005326D6"/>
    <w:rsid w:val="00532CDA"/>
    <w:rsid w:val="005335D2"/>
    <w:rsid w:val="005336A2"/>
    <w:rsid w:val="0053389B"/>
    <w:rsid w:val="00533B21"/>
    <w:rsid w:val="00534E96"/>
    <w:rsid w:val="005359AE"/>
    <w:rsid w:val="00535BFA"/>
    <w:rsid w:val="0053617C"/>
    <w:rsid w:val="00537661"/>
    <w:rsid w:val="005401E2"/>
    <w:rsid w:val="005409B8"/>
    <w:rsid w:val="00540F5D"/>
    <w:rsid w:val="005414F6"/>
    <w:rsid w:val="00541553"/>
    <w:rsid w:val="00541C62"/>
    <w:rsid w:val="00541E4C"/>
    <w:rsid w:val="005426A2"/>
    <w:rsid w:val="00543EF3"/>
    <w:rsid w:val="00543FCB"/>
    <w:rsid w:val="005445B5"/>
    <w:rsid w:val="005463A5"/>
    <w:rsid w:val="00546B8D"/>
    <w:rsid w:val="00546EC3"/>
    <w:rsid w:val="00547D3A"/>
    <w:rsid w:val="00550391"/>
    <w:rsid w:val="005504DC"/>
    <w:rsid w:val="00550AA0"/>
    <w:rsid w:val="00550EFC"/>
    <w:rsid w:val="0055181E"/>
    <w:rsid w:val="00552642"/>
    <w:rsid w:val="005528D6"/>
    <w:rsid w:val="00552A14"/>
    <w:rsid w:val="00552C6E"/>
    <w:rsid w:val="00554968"/>
    <w:rsid w:val="00554A5A"/>
    <w:rsid w:val="00554CF6"/>
    <w:rsid w:val="00556350"/>
    <w:rsid w:val="00557A73"/>
    <w:rsid w:val="00557EA0"/>
    <w:rsid w:val="005604C6"/>
    <w:rsid w:val="00560F04"/>
    <w:rsid w:val="00561ACE"/>
    <w:rsid w:val="00562C1F"/>
    <w:rsid w:val="005645E2"/>
    <w:rsid w:val="00564F0E"/>
    <w:rsid w:val="0056512E"/>
    <w:rsid w:val="00565964"/>
    <w:rsid w:val="0056758A"/>
    <w:rsid w:val="005702CF"/>
    <w:rsid w:val="00570752"/>
    <w:rsid w:val="00571333"/>
    <w:rsid w:val="00571BF5"/>
    <w:rsid w:val="00573685"/>
    <w:rsid w:val="00573C30"/>
    <w:rsid w:val="0057467A"/>
    <w:rsid w:val="00574859"/>
    <w:rsid w:val="00574A6B"/>
    <w:rsid w:val="00575EF5"/>
    <w:rsid w:val="0057697F"/>
    <w:rsid w:val="00577026"/>
    <w:rsid w:val="00577538"/>
    <w:rsid w:val="00577562"/>
    <w:rsid w:val="0057791A"/>
    <w:rsid w:val="005822D1"/>
    <w:rsid w:val="0058240D"/>
    <w:rsid w:val="005842D1"/>
    <w:rsid w:val="00584AED"/>
    <w:rsid w:val="00585CC9"/>
    <w:rsid w:val="00585F31"/>
    <w:rsid w:val="00586865"/>
    <w:rsid w:val="0058725B"/>
    <w:rsid w:val="00587AC5"/>
    <w:rsid w:val="00591375"/>
    <w:rsid w:val="0059155C"/>
    <w:rsid w:val="00591F50"/>
    <w:rsid w:val="00592D41"/>
    <w:rsid w:val="005947E1"/>
    <w:rsid w:val="00594DDB"/>
    <w:rsid w:val="005950D8"/>
    <w:rsid w:val="0059512B"/>
    <w:rsid w:val="005956E4"/>
    <w:rsid w:val="00596D8B"/>
    <w:rsid w:val="00596F29"/>
    <w:rsid w:val="005A097A"/>
    <w:rsid w:val="005A17AA"/>
    <w:rsid w:val="005A1F73"/>
    <w:rsid w:val="005A3AC6"/>
    <w:rsid w:val="005A4031"/>
    <w:rsid w:val="005A4401"/>
    <w:rsid w:val="005A48AB"/>
    <w:rsid w:val="005A4BF7"/>
    <w:rsid w:val="005A4FCC"/>
    <w:rsid w:val="005A6127"/>
    <w:rsid w:val="005A6667"/>
    <w:rsid w:val="005A6EB9"/>
    <w:rsid w:val="005A781E"/>
    <w:rsid w:val="005A7F67"/>
    <w:rsid w:val="005B050B"/>
    <w:rsid w:val="005B0795"/>
    <w:rsid w:val="005B0DC3"/>
    <w:rsid w:val="005B194A"/>
    <w:rsid w:val="005B2F8A"/>
    <w:rsid w:val="005B317D"/>
    <w:rsid w:val="005B3207"/>
    <w:rsid w:val="005B3292"/>
    <w:rsid w:val="005B389F"/>
    <w:rsid w:val="005B41EC"/>
    <w:rsid w:val="005B429A"/>
    <w:rsid w:val="005B446D"/>
    <w:rsid w:val="005B481B"/>
    <w:rsid w:val="005B5532"/>
    <w:rsid w:val="005B5B33"/>
    <w:rsid w:val="005B5DE0"/>
    <w:rsid w:val="005B5E20"/>
    <w:rsid w:val="005B60FA"/>
    <w:rsid w:val="005B642C"/>
    <w:rsid w:val="005B673D"/>
    <w:rsid w:val="005B72CE"/>
    <w:rsid w:val="005B7A73"/>
    <w:rsid w:val="005B7CF2"/>
    <w:rsid w:val="005C0132"/>
    <w:rsid w:val="005C17A7"/>
    <w:rsid w:val="005C1D1D"/>
    <w:rsid w:val="005C2174"/>
    <w:rsid w:val="005C3295"/>
    <w:rsid w:val="005C360D"/>
    <w:rsid w:val="005C3919"/>
    <w:rsid w:val="005C42DA"/>
    <w:rsid w:val="005C46CA"/>
    <w:rsid w:val="005C4C85"/>
    <w:rsid w:val="005C4E3A"/>
    <w:rsid w:val="005C5652"/>
    <w:rsid w:val="005C6094"/>
    <w:rsid w:val="005C6501"/>
    <w:rsid w:val="005D1D08"/>
    <w:rsid w:val="005D2906"/>
    <w:rsid w:val="005D2A3E"/>
    <w:rsid w:val="005D3CEC"/>
    <w:rsid w:val="005D3E6E"/>
    <w:rsid w:val="005D44CE"/>
    <w:rsid w:val="005D4A4E"/>
    <w:rsid w:val="005D53F5"/>
    <w:rsid w:val="005D6CB8"/>
    <w:rsid w:val="005D7973"/>
    <w:rsid w:val="005E1457"/>
    <w:rsid w:val="005E1F96"/>
    <w:rsid w:val="005E2735"/>
    <w:rsid w:val="005E27A1"/>
    <w:rsid w:val="005E4383"/>
    <w:rsid w:val="005E46D7"/>
    <w:rsid w:val="005E4954"/>
    <w:rsid w:val="005E4A6A"/>
    <w:rsid w:val="005E54DA"/>
    <w:rsid w:val="005E6212"/>
    <w:rsid w:val="005E6649"/>
    <w:rsid w:val="005E6FBC"/>
    <w:rsid w:val="005E7165"/>
    <w:rsid w:val="005E7316"/>
    <w:rsid w:val="005E7E9D"/>
    <w:rsid w:val="005F03C0"/>
    <w:rsid w:val="005F09F8"/>
    <w:rsid w:val="005F1740"/>
    <w:rsid w:val="005F1C2D"/>
    <w:rsid w:val="005F1F5F"/>
    <w:rsid w:val="005F2BA4"/>
    <w:rsid w:val="005F3277"/>
    <w:rsid w:val="005F3B9E"/>
    <w:rsid w:val="005F4772"/>
    <w:rsid w:val="005F4AF7"/>
    <w:rsid w:val="005F50E6"/>
    <w:rsid w:val="005F5260"/>
    <w:rsid w:val="005F55CD"/>
    <w:rsid w:val="005F649E"/>
    <w:rsid w:val="005F7210"/>
    <w:rsid w:val="00600517"/>
    <w:rsid w:val="00600855"/>
    <w:rsid w:val="00600A08"/>
    <w:rsid w:val="00600D02"/>
    <w:rsid w:val="006013CF"/>
    <w:rsid w:val="006025DA"/>
    <w:rsid w:val="00604DA4"/>
    <w:rsid w:val="00605CAE"/>
    <w:rsid w:val="006066E6"/>
    <w:rsid w:val="006073F6"/>
    <w:rsid w:val="00610180"/>
    <w:rsid w:val="0061398E"/>
    <w:rsid w:val="00614E13"/>
    <w:rsid w:val="00615425"/>
    <w:rsid w:val="00615C95"/>
    <w:rsid w:val="0061649F"/>
    <w:rsid w:val="00616E45"/>
    <w:rsid w:val="0062036D"/>
    <w:rsid w:val="00620378"/>
    <w:rsid w:val="0062085D"/>
    <w:rsid w:val="00621DA7"/>
    <w:rsid w:val="006220FA"/>
    <w:rsid w:val="006238A9"/>
    <w:rsid w:val="00625228"/>
    <w:rsid w:val="00625A94"/>
    <w:rsid w:val="00625AFE"/>
    <w:rsid w:val="006265C8"/>
    <w:rsid w:val="006266A6"/>
    <w:rsid w:val="00626D1B"/>
    <w:rsid w:val="0062719C"/>
    <w:rsid w:val="006307EA"/>
    <w:rsid w:val="0063293C"/>
    <w:rsid w:val="006336F5"/>
    <w:rsid w:val="00635C83"/>
    <w:rsid w:val="00636082"/>
    <w:rsid w:val="00637133"/>
    <w:rsid w:val="00637FB0"/>
    <w:rsid w:val="006405EC"/>
    <w:rsid w:val="0064090E"/>
    <w:rsid w:val="0064097E"/>
    <w:rsid w:val="00640986"/>
    <w:rsid w:val="00640DD3"/>
    <w:rsid w:val="006416E5"/>
    <w:rsid w:val="00642147"/>
    <w:rsid w:val="00643012"/>
    <w:rsid w:val="00644378"/>
    <w:rsid w:val="00644AEA"/>
    <w:rsid w:val="006463DF"/>
    <w:rsid w:val="0064696E"/>
    <w:rsid w:val="00647C40"/>
    <w:rsid w:val="00650017"/>
    <w:rsid w:val="00650DF2"/>
    <w:rsid w:val="006511B8"/>
    <w:rsid w:val="006513F9"/>
    <w:rsid w:val="00652036"/>
    <w:rsid w:val="00652176"/>
    <w:rsid w:val="00652F56"/>
    <w:rsid w:val="006540CF"/>
    <w:rsid w:val="006547FA"/>
    <w:rsid w:val="00654BEF"/>
    <w:rsid w:val="00656392"/>
    <w:rsid w:val="006573D1"/>
    <w:rsid w:val="00657745"/>
    <w:rsid w:val="006603BF"/>
    <w:rsid w:val="00660416"/>
    <w:rsid w:val="00660650"/>
    <w:rsid w:val="00660A9E"/>
    <w:rsid w:val="00661834"/>
    <w:rsid w:val="00661D89"/>
    <w:rsid w:val="006620F3"/>
    <w:rsid w:val="0066227C"/>
    <w:rsid w:val="0066239C"/>
    <w:rsid w:val="00662DF0"/>
    <w:rsid w:val="006637D8"/>
    <w:rsid w:val="006638B4"/>
    <w:rsid w:val="006657C3"/>
    <w:rsid w:val="006658C3"/>
    <w:rsid w:val="00665AA9"/>
    <w:rsid w:val="0066643F"/>
    <w:rsid w:val="00666901"/>
    <w:rsid w:val="00666D16"/>
    <w:rsid w:val="00667D72"/>
    <w:rsid w:val="00667F73"/>
    <w:rsid w:val="006712AB"/>
    <w:rsid w:val="00672BB1"/>
    <w:rsid w:val="00673B76"/>
    <w:rsid w:val="006744C7"/>
    <w:rsid w:val="006745DC"/>
    <w:rsid w:val="00675162"/>
    <w:rsid w:val="00675263"/>
    <w:rsid w:val="00675C71"/>
    <w:rsid w:val="006760AC"/>
    <w:rsid w:val="00676103"/>
    <w:rsid w:val="006761FD"/>
    <w:rsid w:val="0067709A"/>
    <w:rsid w:val="006812DC"/>
    <w:rsid w:val="00681601"/>
    <w:rsid w:val="006816A6"/>
    <w:rsid w:val="00681B23"/>
    <w:rsid w:val="0068255D"/>
    <w:rsid w:val="006826A8"/>
    <w:rsid w:val="00682DD0"/>
    <w:rsid w:val="006832BE"/>
    <w:rsid w:val="0068340B"/>
    <w:rsid w:val="00683678"/>
    <w:rsid w:val="00683E42"/>
    <w:rsid w:val="00683ED3"/>
    <w:rsid w:val="00685553"/>
    <w:rsid w:val="006855B8"/>
    <w:rsid w:val="00685F68"/>
    <w:rsid w:val="00690613"/>
    <w:rsid w:val="00690864"/>
    <w:rsid w:val="00691FB5"/>
    <w:rsid w:val="006929F0"/>
    <w:rsid w:val="00692DC9"/>
    <w:rsid w:val="00693A1E"/>
    <w:rsid w:val="00693FB1"/>
    <w:rsid w:val="006949CA"/>
    <w:rsid w:val="00695840"/>
    <w:rsid w:val="0069610E"/>
    <w:rsid w:val="00696562"/>
    <w:rsid w:val="006967D4"/>
    <w:rsid w:val="00696A7B"/>
    <w:rsid w:val="00697B62"/>
    <w:rsid w:val="006A2833"/>
    <w:rsid w:val="006A38BC"/>
    <w:rsid w:val="006A3D28"/>
    <w:rsid w:val="006A63D9"/>
    <w:rsid w:val="006A71D7"/>
    <w:rsid w:val="006A7DB5"/>
    <w:rsid w:val="006A7F0B"/>
    <w:rsid w:val="006B0317"/>
    <w:rsid w:val="006B041A"/>
    <w:rsid w:val="006B0E3D"/>
    <w:rsid w:val="006B0E41"/>
    <w:rsid w:val="006B113C"/>
    <w:rsid w:val="006B17FA"/>
    <w:rsid w:val="006B2B07"/>
    <w:rsid w:val="006B33D1"/>
    <w:rsid w:val="006B3EA8"/>
    <w:rsid w:val="006B565B"/>
    <w:rsid w:val="006B6454"/>
    <w:rsid w:val="006B68C3"/>
    <w:rsid w:val="006B71FA"/>
    <w:rsid w:val="006B734D"/>
    <w:rsid w:val="006B748C"/>
    <w:rsid w:val="006B766D"/>
    <w:rsid w:val="006B7CEC"/>
    <w:rsid w:val="006C0C8D"/>
    <w:rsid w:val="006C2ADD"/>
    <w:rsid w:val="006C2DAB"/>
    <w:rsid w:val="006C42CB"/>
    <w:rsid w:val="006C474B"/>
    <w:rsid w:val="006C60D4"/>
    <w:rsid w:val="006C66D5"/>
    <w:rsid w:val="006C680C"/>
    <w:rsid w:val="006C6EA0"/>
    <w:rsid w:val="006C791E"/>
    <w:rsid w:val="006C7C78"/>
    <w:rsid w:val="006D0264"/>
    <w:rsid w:val="006D174D"/>
    <w:rsid w:val="006D1C27"/>
    <w:rsid w:val="006D2A13"/>
    <w:rsid w:val="006D32FD"/>
    <w:rsid w:val="006D4657"/>
    <w:rsid w:val="006D6F2A"/>
    <w:rsid w:val="006D6F6C"/>
    <w:rsid w:val="006D7866"/>
    <w:rsid w:val="006E1024"/>
    <w:rsid w:val="006E12F9"/>
    <w:rsid w:val="006E2261"/>
    <w:rsid w:val="006E2588"/>
    <w:rsid w:val="006E2ADC"/>
    <w:rsid w:val="006E2B27"/>
    <w:rsid w:val="006E389C"/>
    <w:rsid w:val="006E3D14"/>
    <w:rsid w:val="006E4301"/>
    <w:rsid w:val="006E51D6"/>
    <w:rsid w:val="006E587D"/>
    <w:rsid w:val="006E5F36"/>
    <w:rsid w:val="006E6527"/>
    <w:rsid w:val="006E6AE0"/>
    <w:rsid w:val="006E6D19"/>
    <w:rsid w:val="006E7E65"/>
    <w:rsid w:val="006F04FF"/>
    <w:rsid w:val="006F1C8F"/>
    <w:rsid w:val="006F3061"/>
    <w:rsid w:val="006F313B"/>
    <w:rsid w:val="006F53E7"/>
    <w:rsid w:val="006F56FB"/>
    <w:rsid w:val="006F5F13"/>
    <w:rsid w:val="006F70F0"/>
    <w:rsid w:val="006F7339"/>
    <w:rsid w:val="006F74F5"/>
    <w:rsid w:val="006F7618"/>
    <w:rsid w:val="006F76DB"/>
    <w:rsid w:val="006F7799"/>
    <w:rsid w:val="006F7B35"/>
    <w:rsid w:val="006F7F95"/>
    <w:rsid w:val="00702735"/>
    <w:rsid w:val="00702C3F"/>
    <w:rsid w:val="00704210"/>
    <w:rsid w:val="00705F19"/>
    <w:rsid w:val="00705FEA"/>
    <w:rsid w:val="007067E7"/>
    <w:rsid w:val="00707B71"/>
    <w:rsid w:val="00707C66"/>
    <w:rsid w:val="00710596"/>
    <w:rsid w:val="00710CE6"/>
    <w:rsid w:val="0071116A"/>
    <w:rsid w:val="0071259D"/>
    <w:rsid w:val="0071298F"/>
    <w:rsid w:val="00712CDB"/>
    <w:rsid w:val="007141E6"/>
    <w:rsid w:val="00714F29"/>
    <w:rsid w:val="007159CF"/>
    <w:rsid w:val="0071683B"/>
    <w:rsid w:val="007168F7"/>
    <w:rsid w:val="0072113C"/>
    <w:rsid w:val="00721AF9"/>
    <w:rsid w:val="00722408"/>
    <w:rsid w:val="007229C3"/>
    <w:rsid w:val="00722DC3"/>
    <w:rsid w:val="00725F32"/>
    <w:rsid w:val="007260B6"/>
    <w:rsid w:val="0072667F"/>
    <w:rsid w:val="00727CB9"/>
    <w:rsid w:val="00730B04"/>
    <w:rsid w:val="00730B15"/>
    <w:rsid w:val="007313D0"/>
    <w:rsid w:val="00731AE2"/>
    <w:rsid w:val="00731DDB"/>
    <w:rsid w:val="00732723"/>
    <w:rsid w:val="00732F7C"/>
    <w:rsid w:val="007336A9"/>
    <w:rsid w:val="00733CA9"/>
    <w:rsid w:val="00733DAA"/>
    <w:rsid w:val="00733F55"/>
    <w:rsid w:val="0074060F"/>
    <w:rsid w:val="00740C3C"/>
    <w:rsid w:val="00742200"/>
    <w:rsid w:val="0074289B"/>
    <w:rsid w:val="00743586"/>
    <w:rsid w:val="00743B5E"/>
    <w:rsid w:val="00743F8B"/>
    <w:rsid w:val="00744A14"/>
    <w:rsid w:val="00744C25"/>
    <w:rsid w:val="00744C44"/>
    <w:rsid w:val="00745399"/>
    <w:rsid w:val="00745794"/>
    <w:rsid w:val="007468C0"/>
    <w:rsid w:val="00746CBC"/>
    <w:rsid w:val="00747AA4"/>
    <w:rsid w:val="00750BA7"/>
    <w:rsid w:val="00750C89"/>
    <w:rsid w:val="00750EDC"/>
    <w:rsid w:val="0075144F"/>
    <w:rsid w:val="007518FE"/>
    <w:rsid w:val="00751DC6"/>
    <w:rsid w:val="00753649"/>
    <w:rsid w:val="00753C29"/>
    <w:rsid w:val="00754091"/>
    <w:rsid w:val="00755561"/>
    <w:rsid w:val="007568CB"/>
    <w:rsid w:val="00757AE6"/>
    <w:rsid w:val="00757D2E"/>
    <w:rsid w:val="00757E62"/>
    <w:rsid w:val="00760B7A"/>
    <w:rsid w:val="00761328"/>
    <w:rsid w:val="00761506"/>
    <w:rsid w:val="00762FDC"/>
    <w:rsid w:val="0076337B"/>
    <w:rsid w:val="007635E3"/>
    <w:rsid w:val="00764549"/>
    <w:rsid w:val="007669F4"/>
    <w:rsid w:val="00771DBA"/>
    <w:rsid w:val="0077309D"/>
    <w:rsid w:val="007748F2"/>
    <w:rsid w:val="00774A5A"/>
    <w:rsid w:val="00774B33"/>
    <w:rsid w:val="0077521E"/>
    <w:rsid w:val="00775372"/>
    <w:rsid w:val="007759D3"/>
    <w:rsid w:val="00775C3B"/>
    <w:rsid w:val="00775C93"/>
    <w:rsid w:val="007762D5"/>
    <w:rsid w:val="0077640D"/>
    <w:rsid w:val="00776578"/>
    <w:rsid w:val="00776938"/>
    <w:rsid w:val="00776D15"/>
    <w:rsid w:val="00781731"/>
    <w:rsid w:val="00782A09"/>
    <w:rsid w:val="007831A7"/>
    <w:rsid w:val="007833B3"/>
    <w:rsid w:val="00783D5E"/>
    <w:rsid w:val="0078411A"/>
    <w:rsid w:val="007855B9"/>
    <w:rsid w:val="00786163"/>
    <w:rsid w:val="00786208"/>
    <w:rsid w:val="0078652B"/>
    <w:rsid w:val="00786856"/>
    <w:rsid w:val="00786D3A"/>
    <w:rsid w:val="00787C1D"/>
    <w:rsid w:val="00790EF0"/>
    <w:rsid w:val="00791633"/>
    <w:rsid w:val="00791C73"/>
    <w:rsid w:val="007929B9"/>
    <w:rsid w:val="007942FA"/>
    <w:rsid w:val="007950FB"/>
    <w:rsid w:val="00795FF4"/>
    <w:rsid w:val="007970DA"/>
    <w:rsid w:val="007A0663"/>
    <w:rsid w:val="007A0AC0"/>
    <w:rsid w:val="007A143D"/>
    <w:rsid w:val="007A18E3"/>
    <w:rsid w:val="007A3415"/>
    <w:rsid w:val="007A5957"/>
    <w:rsid w:val="007A5C03"/>
    <w:rsid w:val="007A5E0F"/>
    <w:rsid w:val="007A6C7A"/>
    <w:rsid w:val="007A6CC2"/>
    <w:rsid w:val="007B20F1"/>
    <w:rsid w:val="007B27A6"/>
    <w:rsid w:val="007B4EA3"/>
    <w:rsid w:val="007B51D4"/>
    <w:rsid w:val="007B5371"/>
    <w:rsid w:val="007B5E4C"/>
    <w:rsid w:val="007B5F2B"/>
    <w:rsid w:val="007B6B7B"/>
    <w:rsid w:val="007B7658"/>
    <w:rsid w:val="007C0C27"/>
    <w:rsid w:val="007C0F87"/>
    <w:rsid w:val="007C1C9B"/>
    <w:rsid w:val="007C20B9"/>
    <w:rsid w:val="007C3193"/>
    <w:rsid w:val="007C5B84"/>
    <w:rsid w:val="007C741C"/>
    <w:rsid w:val="007C79F9"/>
    <w:rsid w:val="007D0306"/>
    <w:rsid w:val="007D1D1A"/>
    <w:rsid w:val="007D1FFC"/>
    <w:rsid w:val="007D220F"/>
    <w:rsid w:val="007D2361"/>
    <w:rsid w:val="007D29F2"/>
    <w:rsid w:val="007D2A2E"/>
    <w:rsid w:val="007D3ACF"/>
    <w:rsid w:val="007D5867"/>
    <w:rsid w:val="007D7104"/>
    <w:rsid w:val="007D763E"/>
    <w:rsid w:val="007E069A"/>
    <w:rsid w:val="007E0915"/>
    <w:rsid w:val="007E1E39"/>
    <w:rsid w:val="007E22E1"/>
    <w:rsid w:val="007E2807"/>
    <w:rsid w:val="007E31B4"/>
    <w:rsid w:val="007E36B5"/>
    <w:rsid w:val="007E384B"/>
    <w:rsid w:val="007E578D"/>
    <w:rsid w:val="007E597B"/>
    <w:rsid w:val="007E5D0B"/>
    <w:rsid w:val="007E74F5"/>
    <w:rsid w:val="007E7ECB"/>
    <w:rsid w:val="007E7F06"/>
    <w:rsid w:val="007F00AE"/>
    <w:rsid w:val="007F025D"/>
    <w:rsid w:val="007F1097"/>
    <w:rsid w:val="007F1F66"/>
    <w:rsid w:val="007F323E"/>
    <w:rsid w:val="007F3E31"/>
    <w:rsid w:val="007F3ECA"/>
    <w:rsid w:val="007F45A5"/>
    <w:rsid w:val="007F6814"/>
    <w:rsid w:val="007F6E92"/>
    <w:rsid w:val="007F70F8"/>
    <w:rsid w:val="007F7753"/>
    <w:rsid w:val="00800E98"/>
    <w:rsid w:val="00802428"/>
    <w:rsid w:val="008032A7"/>
    <w:rsid w:val="00804AEF"/>
    <w:rsid w:val="00804D04"/>
    <w:rsid w:val="0080564A"/>
    <w:rsid w:val="00805663"/>
    <w:rsid w:val="008062E8"/>
    <w:rsid w:val="00806870"/>
    <w:rsid w:val="0080734A"/>
    <w:rsid w:val="0081084E"/>
    <w:rsid w:val="008116E4"/>
    <w:rsid w:val="00811861"/>
    <w:rsid w:val="00812979"/>
    <w:rsid w:val="008141D1"/>
    <w:rsid w:val="0081592C"/>
    <w:rsid w:val="0081670E"/>
    <w:rsid w:val="00816C6E"/>
    <w:rsid w:val="00820B74"/>
    <w:rsid w:val="008216DE"/>
    <w:rsid w:val="00821A2E"/>
    <w:rsid w:val="008227F4"/>
    <w:rsid w:val="0082386A"/>
    <w:rsid w:val="0082403C"/>
    <w:rsid w:val="0082466D"/>
    <w:rsid w:val="00824BBA"/>
    <w:rsid w:val="0082519C"/>
    <w:rsid w:val="0082683A"/>
    <w:rsid w:val="00830C57"/>
    <w:rsid w:val="008319E9"/>
    <w:rsid w:val="00831AFD"/>
    <w:rsid w:val="00831D1E"/>
    <w:rsid w:val="008322DE"/>
    <w:rsid w:val="008323EA"/>
    <w:rsid w:val="008324CA"/>
    <w:rsid w:val="00833461"/>
    <w:rsid w:val="00833824"/>
    <w:rsid w:val="00833E89"/>
    <w:rsid w:val="00833EA9"/>
    <w:rsid w:val="00834C88"/>
    <w:rsid w:val="00835890"/>
    <w:rsid w:val="00835E19"/>
    <w:rsid w:val="00836016"/>
    <w:rsid w:val="00836D66"/>
    <w:rsid w:val="00837413"/>
    <w:rsid w:val="00837933"/>
    <w:rsid w:val="00840E95"/>
    <w:rsid w:val="00841865"/>
    <w:rsid w:val="008425BC"/>
    <w:rsid w:val="00843033"/>
    <w:rsid w:val="00843F33"/>
    <w:rsid w:val="00844570"/>
    <w:rsid w:val="00844E20"/>
    <w:rsid w:val="00844F6D"/>
    <w:rsid w:val="0084616C"/>
    <w:rsid w:val="00847002"/>
    <w:rsid w:val="0084771D"/>
    <w:rsid w:val="008501C7"/>
    <w:rsid w:val="0085035A"/>
    <w:rsid w:val="00852133"/>
    <w:rsid w:val="00852BF5"/>
    <w:rsid w:val="0085339F"/>
    <w:rsid w:val="0085364E"/>
    <w:rsid w:val="00853877"/>
    <w:rsid w:val="00853B3A"/>
    <w:rsid w:val="00853FB2"/>
    <w:rsid w:val="008548B6"/>
    <w:rsid w:val="00854C3E"/>
    <w:rsid w:val="0086002A"/>
    <w:rsid w:val="00860A89"/>
    <w:rsid w:val="0086118F"/>
    <w:rsid w:val="008611DD"/>
    <w:rsid w:val="00861930"/>
    <w:rsid w:val="00861D2F"/>
    <w:rsid w:val="00861FEB"/>
    <w:rsid w:val="0086282C"/>
    <w:rsid w:val="00862996"/>
    <w:rsid w:val="0086374E"/>
    <w:rsid w:val="0086375C"/>
    <w:rsid w:val="00863957"/>
    <w:rsid w:val="00863B5A"/>
    <w:rsid w:val="0086453D"/>
    <w:rsid w:val="00864844"/>
    <w:rsid w:val="00864861"/>
    <w:rsid w:val="00864A6E"/>
    <w:rsid w:val="00866DF9"/>
    <w:rsid w:val="00866F01"/>
    <w:rsid w:val="0086742F"/>
    <w:rsid w:val="00867517"/>
    <w:rsid w:val="00867949"/>
    <w:rsid w:val="00867C57"/>
    <w:rsid w:val="0087062F"/>
    <w:rsid w:val="00870B5C"/>
    <w:rsid w:val="00870E91"/>
    <w:rsid w:val="008719A1"/>
    <w:rsid w:val="00871C67"/>
    <w:rsid w:val="00871FDB"/>
    <w:rsid w:val="008724F3"/>
    <w:rsid w:val="00874184"/>
    <w:rsid w:val="00874B0A"/>
    <w:rsid w:val="00874D49"/>
    <w:rsid w:val="008752AC"/>
    <w:rsid w:val="008763FA"/>
    <w:rsid w:val="00876D88"/>
    <w:rsid w:val="00877587"/>
    <w:rsid w:val="00881A03"/>
    <w:rsid w:val="008827D7"/>
    <w:rsid w:val="00882E04"/>
    <w:rsid w:val="00884445"/>
    <w:rsid w:val="00885811"/>
    <w:rsid w:val="00885876"/>
    <w:rsid w:val="00885B8C"/>
    <w:rsid w:val="00885D9D"/>
    <w:rsid w:val="00886161"/>
    <w:rsid w:val="008873C4"/>
    <w:rsid w:val="00890270"/>
    <w:rsid w:val="00890433"/>
    <w:rsid w:val="00891672"/>
    <w:rsid w:val="00893DE2"/>
    <w:rsid w:val="008942E3"/>
    <w:rsid w:val="00894CFA"/>
    <w:rsid w:val="00895A5E"/>
    <w:rsid w:val="00895E95"/>
    <w:rsid w:val="00897249"/>
    <w:rsid w:val="008973CE"/>
    <w:rsid w:val="008A06FE"/>
    <w:rsid w:val="008A0C3F"/>
    <w:rsid w:val="008A0C8D"/>
    <w:rsid w:val="008A1773"/>
    <w:rsid w:val="008A2140"/>
    <w:rsid w:val="008A3B95"/>
    <w:rsid w:val="008A499E"/>
    <w:rsid w:val="008A5624"/>
    <w:rsid w:val="008A5E3C"/>
    <w:rsid w:val="008A6CF5"/>
    <w:rsid w:val="008A6D11"/>
    <w:rsid w:val="008B0164"/>
    <w:rsid w:val="008B0716"/>
    <w:rsid w:val="008B0D60"/>
    <w:rsid w:val="008B1773"/>
    <w:rsid w:val="008B1975"/>
    <w:rsid w:val="008B2A8B"/>
    <w:rsid w:val="008B3FC8"/>
    <w:rsid w:val="008B5111"/>
    <w:rsid w:val="008B570D"/>
    <w:rsid w:val="008B5B65"/>
    <w:rsid w:val="008B5E61"/>
    <w:rsid w:val="008B6EB3"/>
    <w:rsid w:val="008B766F"/>
    <w:rsid w:val="008C063C"/>
    <w:rsid w:val="008C08BA"/>
    <w:rsid w:val="008C252C"/>
    <w:rsid w:val="008C29FF"/>
    <w:rsid w:val="008C2F5F"/>
    <w:rsid w:val="008C3148"/>
    <w:rsid w:val="008C341D"/>
    <w:rsid w:val="008C411B"/>
    <w:rsid w:val="008C5412"/>
    <w:rsid w:val="008C6585"/>
    <w:rsid w:val="008C672C"/>
    <w:rsid w:val="008C74D1"/>
    <w:rsid w:val="008C7FE4"/>
    <w:rsid w:val="008D0C00"/>
    <w:rsid w:val="008D125A"/>
    <w:rsid w:val="008D1B0B"/>
    <w:rsid w:val="008D2A82"/>
    <w:rsid w:val="008D2E27"/>
    <w:rsid w:val="008D57C0"/>
    <w:rsid w:val="008D5FDC"/>
    <w:rsid w:val="008D72BE"/>
    <w:rsid w:val="008E04A0"/>
    <w:rsid w:val="008E0935"/>
    <w:rsid w:val="008E0E56"/>
    <w:rsid w:val="008E12EE"/>
    <w:rsid w:val="008E355D"/>
    <w:rsid w:val="008E7001"/>
    <w:rsid w:val="008E7828"/>
    <w:rsid w:val="008F0003"/>
    <w:rsid w:val="008F154C"/>
    <w:rsid w:val="008F28AC"/>
    <w:rsid w:val="008F2F0F"/>
    <w:rsid w:val="008F370E"/>
    <w:rsid w:val="008F3B50"/>
    <w:rsid w:val="008F5035"/>
    <w:rsid w:val="008F7043"/>
    <w:rsid w:val="008F7B18"/>
    <w:rsid w:val="008F7BC3"/>
    <w:rsid w:val="0090112B"/>
    <w:rsid w:val="009019FD"/>
    <w:rsid w:val="00901C28"/>
    <w:rsid w:val="009025D8"/>
    <w:rsid w:val="009054AA"/>
    <w:rsid w:val="00905707"/>
    <w:rsid w:val="00905FF8"/>
    <w:rsid w:val="00906330"/>
    <w:rsid w:val="00906C04"/>
    <w:rsid w:val="00906C2D"/>
    <w:rsid w:val="00906E7E"/>
    <w:rsid w:val="00910CCC"/>
    <w:rsid w:val="00911030"/>
    <w:rsid w:val="0091173C"/>
    <w:rsid w:val="00911A12"/>
    <w:rsid w:val="009122FC"/>
    <w:rsid w:val="0091414F"/>
    <w:rsid w:val="00914327"/>
    <w:rsid w:val="00914733"/>
    <w:rsid w:val="00915413"/>
    <w:rsid w:val="009158F6"/>
    <w:rsid w:val="00915AEC"/>
    <w:rsid w:val="00915E07"/>
    <w:rsid w:val="00916414"/>
    <w:rsid w:val="0091670B"/>
    <w:rsid w:val="00917145"/>
    <w:rsid w:val="00917826"/>
    <w:rsid w:val="0092041E"/>
    <w:rsid w:val="00920430"/>
    <w:rsid w:val="00920D93"/>
    <w:rsid w:val="0092173D"/>
    <w:rsid w:val="009217D2"/>
    <w:rsid w:val="00923E66"/>
    <w:rsid w:val="0092400A"/>
    <w:rsid w:val="00924E73"/>
    <w:rsid w:val="0092565E"/>
    <w:rsid w:val="00925BCA"/>
    <w:rsid w:val="00925E1E"/>
    <w:rsid w:val="00926834"/>
    <w:rsid w:val="00926A1A"/>
    <w:rsid w:val="009270E2"/>
    <w:rsid w:val="00927F70"/>
    <w:rsid w:val="0093029D"/>
    <w:rsid w:val="00930CBA"/>
    <w:rsid w:val="00930D49"/>
    <w:rsid w:val="009328A3"/>
    <w:rsid w:val="009340D2"/>
    <w:rsid w:val="009341CA"/>
    <w:rsid w:val="00934E75"/>
    <w:rsid w:val="00934FBD"/>
    <w:rsid w:val="0093567C"/>
    <w:rsid w:val="0093633E"/>
    <w:rsid w:val="009406E8"/>
    <w:rsid w:val="00941693"/>
    <w:rsid w:val="009432A1"/>
    <w:rsid w:val="00943969"/>
    <w:rsid w:val="00943A2B"/>
    <w:rsid w:val="00944EFC"/>
    <w:rsid w:val="00946F35"/>
    <w:rsid w:val="00950F78"/>
    <w:rsid w:val="00951285"/>
    <w:rsid w:val="009512DF"/>
    <w:rsid w:val="009515DB"/>
    <w:rsid w:val="009518E1"/>
    <w:rsid w:val="00951924"/>
    <w:rsid w:val="00952CD3"/>
    <w:rsid w:val="00952E87"/>
    <w:rsid w:val="009541C2"/>
    <w:rsid w:val="0095472C"/>
    <w:rsid w:val="00954D21"/>
    <w:rsid w:val="00955886"/>
    <w:rsid w:val="009568B5"/>
    <w:rsid w:val="009569C9"/>
    <w:rsid w:val="00957079"/>
    <w:rsid w:val="00957D4C"/>
    <w:rsid w:val="0096044E"/>
    <w:rsid w:val="0096130E"/>
    <w:rsid w:val="009613F4"/>
    <w:rsid w:val="00962B9B"/>
    <w:rsid w:val="00963F22"/>
    <w:rsid w:val="009645AB"/>
    <w:rsid w:val="0096492D"/>
    <w:rsid w:val="00964BC9"/>
    <w:rsid w:val="00964E13"/>
    <w:rsid w:val="00965A9A"/>
    <w:rsid w:val="00965D55"/>
    <w:rsid w:val="00970B3E"/>
    <w:rsid w:val="00971400"/>
    <w:rsid w:val="00971FCB"/>
    <w:rsid w:val="00972258"/>
    <w:rsid w:val="009723AF"/>
    <w:rsid w:val="009730B3"/>
    <w:rsid w:val="00973752"/>
    <w:rsid w:val="00973DB8"/>
    <w:rsid w:val="00974FB5"/>
    <w:rsid w:val="00975272"/>
    <w:rsid w:val="009759CA"/>
    <w:rsid w:val="00975C38"/>
    <w:rsid w:val="00976254"/>
    <w:rsid w:val="0097669C"/>
    <w:rsid w:val="009768B4"/>
    <w:rsid w:val="00976B48"/>
    <w:rsid w:val="009775AC"/>
    <w:rsid w:val="009776F0"/>
    <w:rsid w:val="00980308"/>
    <w:rsid w:val="00981EDD"/>
    <w:rsid w:val="00982B99"/>
    <w:rsid w:val="0098462B"/>
    <w:rsid w:val="0098522C"/>
    <w:rsid w:val="00985315"/>
    <w:rsid w:val="0098624B"/>
    <w:rsid w:val="00986A0B"/>
    <w:rsid w:val="00987317"/>
    <w:rsid w:val="009878E9"/>
    <w:rsid w:val="00987BE0"/>
    <w:rsid w:val="00990E2B"/>
    <w:rsid w:val="00990E9E"/>
    <w:rsid w:val="00991EE5"/>
    <w:rsid w:val="00992165"/>
    <w:rsid w:val="0099226D"/>
    <w:rsid w:val="009932C3"/>
    <w:rsid w:val="00993459"/>
    <w:rsid w:val="00993681"/>
    <w:rsid w:val="00993789"/>
    <w:rsid w:val="00994150"/>
    <w:rsid w:val="009944F8"/>
    <w:rsid w:val="009945B9"/>
    <w:rsid w:val="00994842"/>
    <w:rsid w:val="00994FB4"/>
    <w:rsid w:val="009963AF"/>
    <w:rsid w:val="00996942"/>
    <w:rsid w:val="009970CB"/>
    <w:rsid w:val="00997569"/>
    <w:rsid w:val="0099761B"/>
    <w:rsid w:val="00997F3B"/>
    <w:rsid w:val="00997FCE"/>
    <w:rsid w:val="009A0407"/>
    <w:rsid w:val="009A0EB2"/>
    <w:rsid w:val="009A1922"/>
    <w:rsid w:val="009A1D08"/>
    <w:rsid w:val="009A242A"/>
    <w:rsid w:val="009A38ED"/>
    <w:rsid w:val="009A3B86"/>
    <w:rsid w:val="009A3F45"/>
    <w:rsid w:val="009A4817"/>
    <w:rsid w:val="009A584B"/>
    <w:rsid w:val="009A58FF"/>
    <w:rsid w:val="009A5940"/>
    <w:rsid w:val="009A5FC6"/>
    <w:rsid w:val="009A6650"/>
    <w:rsid w:val="009A7384"/>
    <w:rsid w:val="009A7C3F"/>
    <w:rsid w:val="009A7EF7"/>
    <w:rsid w:val="009A7F08"/>
    <w:rsid w:val="009A7F9B"/>
    <w:rsid w:val="009B0849"/>
    <w:rsid w:val="009B1C91"/>
    <w:rsid w:val="009B2491"/>
    <w:rsid w:val="009B2A22"/>
    <w:rsid w:val="009B2B49"/>
    <w:rsid w:val="009B359E"/>
    <w:rsid w:val="009B3713"/>
    <w:rsid w:val="009B481B"/>
    <w:rsid w:val="009B4847"/>
    <w:rsid w:val="009B4F30"/>
    <w:rsid w:val="009B5509"/>
    <w:rsid w:val="009B5846"/>
    <w:rsid w:val="009B6184"/>
    <w:rsid w:val="009B6C62"/>
    <w:rsid w:val="009B7CAB"/>
    <w:rsid w:val="009C0305"/>
    <w:rsid w:val="009C1A14"/>
    <w:rsid w:val="009C1C3C"/>
    <w:rsid w:val="009C1ED7"/>
    <w:rsid w:val="009C1F9D"/>
    <w:rsid w:val="009C3068"/>
    <w:rsid w:val="009C32BF"/>
    <w:rsid w:val="009C3403"/>
    <w:rsid w:val="009C3577"/>
    <w:rsid w:val="009C3EED"/>
    <w:rsid w:val="009C44FD"/>
    <w:rsid w:val="009C5BD8"/>
    <w:rsid w:val="009C5C44"/>
    <w:rsid w:val="009C60FB"/>
    <w:rsid w:val="009C64B7"/>
    <w:rsid w:val="009C6631"/>
    <w:rsid w:val="009C6659"/>
    <w:rsid w:val="009C6DAB"/>
    <w:rsid w:val="009C7853"/>
    <w:rsid w:val="009D0147"/>
    <w:rsid w:val="009D01A6"/>
    <w:rsid w:val="009D14C2"/>
    <w:rsid w:val="009D2590"/>
    <w:rsid w:val="009D2990"/>
    <w:rsid w:val="009D29F0"/>
    <w:rsid w:val="009D3172"/>
    <w:rsid w:val="009D4028"/>
    <w:rsid w:val="009D448F"/>
    <w:rsid w:val="009D48F9"/>
    <w:rsid w:val="009D4F17"/>
    <w:rsid w:val="009D683C"/>
    <w:rsid w:val="009D68E4"/>
    <w:rsid w:val="009D6F4B"/>
    <w:rsid w:val="009D74AF"/>
    <w:rsid w:val="009D7905"/>
    <w:rsid w:val="009D7D95"/>
    <w:rsid w:val="009E042A"/>
    <w:rsid w:val="009E386E"/>
    <w:rsid w:val="009E42E6"/>
    <w:rsid w:val="009E4520"/>
    <w:rsid w:val="009E4605"/>
    <w:rsid w:val="009E4E2D"/>
    <w:rsid w:val="009E590D"/>
    <w:rsid w:val="009E5D42"/>
    <w:rsid w:val="009E7DBF"/>
    <w:rsid w:val="009F190A"/>
    <w:rsid w:val="009F27A9"/>
    <w:rsid w:val="009F2BB0"/>
    <w:rsid w:val="009F30F7"/>
    <w:rsid w:val="009F37CD"/>
    <w:rsid w:val="009F4B7E"/>
    <w:rsid w:val="009F5F4C"/>
    <w:rsid w:val="009F6226"/>
    <w:rsid w:val="009F670A"/>
    <w:rsid w:val="009F7A00"/>
    <w:rsid w:val="00A007E6"/>
    <w:rsid w:val="00A01275"/>
    <w:rsid w:val="00A01DAC"/>
    <w:rsid w:val="00A0323F"/>
    <w:rsid w:val="00A0329B"/>
    <w:rsid w:val="00A0337A"/>
    <w:rsid w:val="00A03697"/>
    <w:rsid w:val="00A0452E"/>
    <w:rsid w:val="00A05BFD"/>
    <w:rsid w:val="00A060B1"/>
    <w:rsid w:val="00A0620F"/>
    <w:rsid w:val="00A075B4"/>
    <w:rsid w:val="00A079D7"/>
    <w:rsid w:val="00A1025F"/>
    <w:rsid w:val="00A10D2F"/>
    <w:rsid w:val="00A11AAC"/>
    <w:rsid w:val="00A11E9B"/>
    <w:rsid w:val="00A12A90"/>
    <w:rsid w:val="00A13665"/>
    <w:rsid w:val="00A1390C"/>
    <w:rsid w:val="00A13F18"/>
    <w:rsid w:val="00A13F78"/>
    <w:rsid w:val="00A14891"/>
    <w:rsid w:val="00A154E5"/>
    <w:rsid w:val="00A15AEF"/>
    <w:rsid w:val="00A1727C"/>
    <w:rsid w:val="00A2049B"/>
    <w:rsid w:val="00A20D15"/>
    <w:rsid w:val="00A21F6E"/>
    <w:rsid w:val="00A2227D"/>
    <w:rsid w:val="00A22429"/>
    <w:rsid w:val="00A2309B"/>
    <w:rsid w:val="00A2335B"/>
    <w:rsid w:val="00A23AAC"/>
    <w:rsid w:val="00A24AD6"/>
    <w:rsid w:val="00A24DDA"/>
    <w:rsid w:val="00A250F7"/>
    <w:rsid w:val="00A253DA"/>
    <w:rsid w:val="00A27364"/>
    <w:rsid w:val="00A27DAC"/>
    <w:rsid w:val="00A31209"/>
    <w:rsid w:val="00A32478"/>
    <w:rsid w:val="00A32BB2"/>
    <w:rsid w:val="00A3345D"/>
    <w:rsid w:val="00A3434D"/>
    <w:rsid w:val="00A3482C"/>
    <w:rsid w:val="00A369B7"/>
    <w:rsid w:val="00A36B0A"/>
    <w:rsid w:val="00A36C22"/>
    <w:rsid w:val="00A37EF3"/>
    <w:rsid w:val="00A40269"/>
    <w:rsid w:val="00A40377"/>
    <w:rsid w:val="00A4099A"/>
    <w:rsid w:val="00A41E72"/>
    <w:rsid w:val="00A438C5"/>
    <w:rsid w:val="00A44CB5"/>
    <w:rsid w:val="00A44EE0"/>
    <w:rsid w:val="00A455AA"/>
    <w:rsid w:val="00A4570E"/>
    <w:rsid w:val="00A45E6F"/>
    <w:rsid w:val="00A4625A"/>
    <w:rsid w:val="00A46F36"/>
    <w:rsid w:val="00A472C3"/>
    <w:rsid w:val="00A4746C"/>
    <w:rsid w:val="00A47756"/>
    <w:rsid w:val="00A47D1E"/>
    <w:rsid w:val="00A502EA"/>
    <w:rsid w:val="00A50CD6"/>
    <w:rsid w:val="00A52083"/>
    <w:rsid w:val="00A532C1"/>
    <w:rsid w:val="00A5350B"/>
    <w:rsid w:val="00A5397D"/>
    <w:rsid w:val="00A53B3A"/>
    <w:rsid w:val="00A5403B"/>
    <w:rsid w:val="00A54346"/>
    <w:rsid w:val="00A54A23"/>
    <w:rsid w:val="00A54EA8"/>
    <w:rsid w:val="00A55918"/>
    <w:rsid w:val="00A564D2"/>
    <w:rsid w:val="00A60297"/>
    <w:rsid w:val="00A60723"/>
    <w:rsid w:val="00A61953"/>
    <w:rsid w:val="00A61A4B"/>
    <w:rsid w:val="00A62255"/>
    <w:rsid w:val="00A62778"/>
    <w:rsid w:val="00A62AA3"/>
    <w:rsid w:val="00A63057"/>
    <w:rsid w:val="00A631FF"/>
    <w:rsid w:val="00A63493"/>
    <w:rsid w:val="00A638EF"/>
    <w:rsid w:val="00A63A1D"/>
    <w:rsid w:val="00A63B94"/>
    <w:rsid w:val="00A64133"/>
    <w:rsid w:val="00A647EC"/>
    <w:rsid w:val="00A6588C"/>
    <w:rsid w:val="00A65E4F"/>
    <w:rsid w:val="00A66681"/>
    <w:rsid w:val="00A66D15"/>
    <w:rsid w:val="00A67F57"/>
    <w:rsid w:val="00A70923"/>
    <w:rsid w:val="00A71E50"/>
    <w:rsid w:val="00A72959"/>
    <w:rsid w:val="00A7326E"/>
    <w:rsid w:val="00A738ED"/>
    <w:rsid w:val="00A73F0F"/>
    <w:rsid w:val="00A74900"/>
    <w:rsid w:val="00A74A12"/>
    <w:rsid w:val="00A75A1E"/>
    <w:rsid w:val="00A773A8"/>
    <w:rsid w:val="00A77583"/>
    <w:rsid w:val="00A80751"/>
    <w:rsid w:val="00A815E1"/>
    <w:rsid w:val="00A81749"/>
    <w:rsid w:val="00A822A6"/>
    <w:rsid w:val="00A82A68"/>
    <w:rsid w:val="00A83FA6"/>
    <w:rsid w:val="00A840FD"/>
    <w:rsid w:val="00A84340"/>
    <w:rsid w:val="00A846A2"/>
    <w:rsid w:val="00A848C5"/>
    <w:rsid w:val="00A84E95"/>
    <w:rsid w:val="00A85B01"/>
    <w:rsid w:val="00A866C8"/>
    <w:rsid w:val="00A86E31"/>
    <w:rsid w:val="00A877CC"/>
    <w:rsid w:val="00A9092C"/>
    <w:rsid w:val="00A90CBF"/>
    <w:rsid w:val="00A90FA6"/>
    <w:rsid w:val="00A91317"/>
    <w:rsid w:val="00A91F9E"/>
    <w:rsid w:val="00A929EA"/>
    <w:rsid w:val="00A94F38"/>
    <w:rsid w:val="00A953FD"/>
    <w:rsid w:val="00A956D0"/>
    <w:rsid w:val="00A976F8"/>
    <w:rsid w:val="00AA0279"/>
    <w:rsid w:val="00AA0DA0"/>
    <w:rsid w:val="00AA0E53"/>
    <w:rsid w:val="00AA118D"/>
    <w:rsid w:val="00AA1890"/>
    <w:rsid w:val="00AA2791"/>
    <w:rsid w:val="00AA2D13"/>
    <w:rsid w:val="00AA2E63"/>
    <w:rsid w:val="00AA2F9B"/>
    <w:rsid w:val="00AA3676"/>
    <w:rsid w:val="00AA40E2"/>
    <w:rsid w:val="00AA476F"/>
    <w:rsid w:val="00AA4C32"/>
    <w:rsid w:val="00AA53BD"/>
    <w:rsid w:val="00AA5406"/>
    <w:rsid w:val="00AA5D52"/>
    <w:rsid w:val="00AA6066"/>
    <w:rsid w:val="00AA6344"/>
    <w:rsid w:val="00AA66B7"/>
    <w:rsid w:val="00AA6B99"/>
    <w:rsid w:val="00AA74EC"/>
    <w:rsid w:val="00AA7FEF"/>
    <w:rsid w:val="00AB1D49"/>
    <w:rsid w:val="00AB1F54"/>
    <w:rsid w:val="00AB21B7"/>
    <w:rsid w:val="00AB374F"/>
    <w:rsid w:val="00AB5DE5"/>
    <w:rsid w:val="00AB75C2"/>
    <w:rsid w:val="00AB7720"/>
    <w:rsid w:val="00AC0D69"/>
    <w:rsid w:val="00AC118F"/>
    <w:rsid w:val="00AC2D77"/>
    <w:rsid w:val="00AC3B27"/>
    <w:rsid w:val="00AC41FB"/>
    <w:rsid w:val="00AC48C7"/>
    <w:rsid w:val="00AC4F80"/>
    <w:rsid w:val="00AC5D5F"/>
    <w:rsid w:val="00AC5E3F"/>
    <w:rsid w:val="00AC612B"/>
    <w:rsid w:val="00AC68BE"/>
    <w:rsid w:val="00AC7AA5"/>
    <w:rsid w:val="00AD065D"/>
    <w:rsid w:val="00AD08A4"/>
    <w:rsid w:val="00AD20FF"/>
    <w:rsid w:val="00AD28CE"/>
    <w:rsid w:val="00AD35FA"/>
    <w:rsid w:val="00AD367F"/>
    <w:rsid w:val="00AD37AC"/>
    <w:rsid w:val="00AD3EC8"/>
    <w:rsid w:val="00AD4654"/>
    <w:rsid w:val="00AD4E52"/>
    <w:rsid w:val="00AD5053"/>
    <w:rsid w:val="00AD520E"/>
    <w:rsid w:val="00AD5986"/>
    <w:rsid w:val="00AD5AF4"/>
    <w:rsid w:val="00AD64D5"/>
    <w:rsid w:val="00AD6DDA"/>
    <w:rsid w:val="00AD7A03"/>
    <w:rsid w:val="00AE134C"/>
    <w:rsid w:val="00AE1403"/>
    <w:rsid w:val="00AE30D8"/>
    <w:rsid w:val="00AE379B"/>
    <w:rsid w:val="00AE4093"/>
    <w:rsid w:val="00AE4718"/>
    <w:rsid w:val="00AE4B8F"/>
    <w:rsid w:val="00AE5DBC"/>
    <w:rsid w:val="00AE67EB"/>
    <w:rsid w:val="00AE6878"/>
    <w:rsid w:val="00AE78DD"/>
    <w:rsid w:val="00AF13E4"/>
    <w:rsid w:val="00AF14EA"/>
    <w:rsid w:val="00AF1711"/>
    <w:rsid w:val="00AF29B2"/>
    <w:rsid w:val="00AF2BB7"/>
    <w:rsid w:val="00AF2E07"/>
    <w:rsid w:val="00AF3BFB"/>
    <w:rsid w:val="00AF3F53"/>
    <w:rsid w:val="00AF4722"/>
    <w:rsid w:val="00AF5F14"/>
    <w:rsid w:val="00AF6972"/>
    <w:rsid w:val="00AF6EAE"/>
    <w:rsid w:val="00AF74E7"/>
    <w:rsid w:val="00AF7C1B"/>
    <w:rsid w:val="00AF7DA6"/>
    <w:rsid w:val="00B008E1"/>
    <w:rsid w:val="00B010DE"/>
    <w:rsid w:val="00B01174"/>
    <w:rsid w:val="00B01A78"/>
    <w:rsid w:val="00B01ED4"/>
    <w:rsid w:val="00B02194"/>
    <w:rsid w:val="00B02436"/>
    <w:rsid w:val="00B02ACA"/>
    <w:rsid w:val="00B02E64"/>
    <w:rsid w:val="00B032B8"/>
    <w:rsid w:val="00B03B95"/>
    <w:rsid w:val="00B0441F"/>
    <w:rsid w:val="00B04736"/>
    <w:rsid w:val="00B053A1"/>
    <w:rsid w:val="00B05D3B"/>
    <w:rsid w:val="00B05FAC"/>
    <w:rsid w:val="00B068EE"/>
    <w:rsid w:val="00B07236"/>
    <w:rsid w:val="00B07FC8"/>
    <w:rsid w:val="00B1059E"/>
    <w:rsid w:val="00B10AD4"/>
    <w:rsid w:val="00B11273"/>
    <w:rsid w:val="00B11497"/>
    <w:rsid w:val="00B1392C"/>
    <w:rsid w:val="00B139D5"/>
    <w:rsid w:val="00B13C2B"/>
    <w:rsid w:val="00B153B6"/>
    <w:rsid w:val="00B17885"/>
    <w:rsid w:val="00B179D6"/>
    <w:rsid w:val="00B17BA8"/>
    <w:rsid w:val="00B20779"/>
    <w:rsid w:val="00B212A0"/>
    <w:rsid w:val="00B21B5F"/>
    <w:rsid w:val="00B21CAA"/>
    <w:rsid w:val="00B230AE"/>
    <w:rsid w:val="00B23E4E"/>
    <w:rsid w:val="00B253E7"/>
    <w:rsid w:val="00B25824"/>
    <w:rsid w:val="00B258F1"/>
    <w:rsid w:val="00B25CCE"/>
    <w:rsid w:val="00B25DF6"/>
    <w:rsid w:val="00B26492"/>
    <w:rsid w:val="00B266AE"/>
    <w:rsid w:val="00B27064"/>
    <w:rsid w:val="00B31598"/>
    <w:rsid w:val="00B33B6A"/>
    <w:rsid w:val="00B35040"/>
    <w:rsid w:val="00B36024"/>
    <w:rsid w:val="00B36982"/>
    <w:rsid w:val="00B36C7D"/>
    <w:rsid w:val="00B3737C"/>
    <w:rsid w:val="00B376A1"/>
    <w:rsid w:val="00B37B8B"/>
    <w:rsid w:val="00B404F8"/>
    <w:rsid w:val="00B40967"/>
    <w:rsid w:val="00B40AB4"/>
    <w:rsid w:val="00B41938"/>
    <w:rsid w:val="00B41DA7"/>
    <w:rsid w:val="00B4260F"/>
    <w:rsid w:val="00B42F87"/>
    <w:rsid w:val="00B44112"/>
    <w:rsid w:val="00B44479"/>
    <w:rsid w:val="00B444AB"/>
    <w:rsid w:val="00B45695"/>
    <w:rsid w:val="00B45C84"/>
    <w:rsid w:val="00B45D1A"/>
    <w:rsid w:val="00B45E11"/>
    <w:rsid w:val="00B4714E"/>
    <w:rsid w:val="00B473B4"/>
    <w:rsid w:val="00B47637"/>
    <w:rsid w:val="00B47E09"/>
    <w:rsid w:val="00B50373"/>
    <w:rsid w:val="00B50E4E"/>
    <w:rsid w:val="00B5281B"/>
    <w:rsid w:val="00B52B69"/>
    <w:rsid w:val="00B53B8E"/>
    <w:rsid w:val="00B54156"/>
    <w:rsid w:val="00B55727"/>
    <w:rsid w:val="00B55ADA"/>
    <w:rsid w:val="00B55DB8"/>
    <w:rsid w:val="00B57538"/>
    <w:rsid w:val="00B57BAB"/>
    <w:rsid w:val="00B605B7"/>
    <w:rsid w:val="00B61BC8"/>
    <w:rsid w:val="00B62B54"/>
    <w:rsid w:val="00B62E61"/>
    <w:rsid w:val="00B62EB2"/>
    <w:rsid w:val="00B6362C"/>
    <w:rsid w:val="00B64140"/>
    <w:rsid w:val="00B6571E"/>
    <w:rsid w:val="00B67650"/>
    <w:rsid w:val="00B70609"/>
    <w:rsid w:val="00B70C51"/>
    <w:rsid w:val="00B70F3D"/>
    <w:rsid w:val="00B7115B"/>
    <w:rsid w:val="00B71428"/>
    <w:rsid w:val="00B7197F"/>
    <w:rsid w:val="00B71B1F"/>
    <w:rsid w:val="00B71C5C"/>
    <w:rsid w:val="00B72DF5"/>
    <w:rsid w:val="00B73048"/>
    <w:rsid w:val="00B73600"/>
    <w:rsid w:val="00B736DE"/>
    <w:rsid w:val="00B74260"/>
    <w:rsid w:val="00B75EF8"/>
    <w:rsid w:val="00B775B0"/>
    <w:rsid w:val="00B77855"/>
    <w:rsid w:val="00B77E9B"/>
    <w:rsid w:val="00B8013C"/>
    <w:rsid w:val="00B80C6E"/>
    <w:rsid w:val="00B811D9"/>
    <w:rsid w:val="00B8175C"/>
    <w:rsid w:val="00B81ADA"/>
    <w:rsid w:val="00B822F5"/>
    <w:rsid w:val="00B82A19"/>
    <w:rsid w:val="00B82BDA"/>
    <w:rsid w:val="00B82DF5"/>
    <w:rsid w:val="00B82F96"/>
    <w:rsid w:val="00B830B9"/>
    <w:rsid w:val="00B845D9"/>
    <w:rsid w:val="00B84F23"/>
    <w:rsid w:val="00B8599C"/>
    <w:rsid w:val="00B85C6C"/>
    <w:rsid w:val="00B85F50"/>
    <w:rsid w:val="00B861D7"/>
    <w:rsid w:val="00B86B35"/>
    <w:rsid w:val="00B87391"/>
    <w:rsid w:val="00B87ABC"/>
    <w:rsid w:val="00B9007F"/>
    <w:rsid w:val="00B916F7"/>
    <w:rsid w:val="00B920DE"/>
    <w:rsid w:val="00B928CE"/>
    <w:rsid w:val="00B935A5"/>
    <w:rsid w:val="00B9371C"/>
    <w:rsid w:val="00B93F5E"/>
    <w:rsid w:val="00B9466B"/>
    <w:rsid w:val="00B94C18"/>
    <w:rsid w:val="00B94EC6"/>
    <w:rsid w:val="00B951B7"/>
    <w:rsid w:val="00B95B3B"/>
    <w:rsid w:val="00B95B66"/>
    <w:rsid w:val="00B96C7C"/>
    <w:rsid w:val="00B96F94"/>
    <w:rsid w:val="00B971F3"/>
    <w:rsid w:val="00B9748A"/>
    <w:rsid w:val="00B97EDA"/>
    <w:rsid w:val="00BA0E91"/>
    <w:rsid w:val="00BA0F1A"/>
    <w:rsid w:val="00BA1597"/>
    <w:rsid w:val="00BA18D2"/>
    <w:rsid w:val="00BA1D1D"/>
    <w:rsid w:val="00BA1E80"/>
    <w:rsid w:val="00BA1EE0"/>
    <w:rsid w:val="00BA2872"/>
    <w:rsid w:val="00BA3FC8"/>
    <w:rsid w:val="00BA58AC"/>
    <w:rsid w:val="00BA58CC"/>
    <w:rsid w:val="00BA5C16"/>
    <w:rsid w:val="00BA5F78"/>
    <w:rsid w:val="00BA6559"/>
    <w:rsid w:val="00BA670A"/>
    <w:rsid w:val="00BA6F0F"/>
    <w:rsid w:val="00BB0273"/>
    <w:rsid w:val="00BB0917"/>
    <w:rsid w:val="00BB1493"/>
    <w:rsid w:val="00BB272F"/>
    <w:rsid w:val="00BB346D"/>
    <w:rsid w:val="00BB3F15"/>
    <w:rsid w:val="00BB424B"/>
    <w:rsid w:val="00BB46C0"/>
    <w:rsid w:val="00BB4E6C"/>
    <w:rsid w:val="00BB568E"/>
    <w:rsid w:val="00BB5B9C"/>
    <w:rsid w:val="00BB5F1F"/>
    <w:rsid w:val="00BB6A23"/>
    <w:rsid w:val="00BB6B00"/>
    <w:rsid w:val="00BB71E6"/>
    <w:rsid w:val="00BB762C"/>
    <w:rsid w:val="00BC0499"/>
    <w:rsid w:val="00BC089E"/>
    <w:rsid w:val="00BC0E6A"/>
    <w:rsid w:val="00BC0E7D"/>
    <w:rsid w:val="00BC0FB4"/>
    <w:rsid w:val="00BC18B6"/>
    <w:rsid w:val="00BC1D11"/>
    <w:rsid w:val="00BC1E0F"/>
    <w:rsid w:val="00BC1F32"/>
    <w:rsid w:val="00BC3017"/>
    <w:rsid w:val="00BC3A52"/>
    <w:rsid w:val="00BC46FF"/>
    <w:rsid w:val="00BC494A"/>
    <w:rsid w:val="00BC55C5"/>
    <w:rsid w:val="00BC5F3E"/>
    <w:rsid w:val="00BC5FAC"/>
    <w:rsid w:val="00BC6396"/>
    <w:rsid w:val="00BC7F21"/>
    <w:rsid w:val="00BD0273"/>
    <w:rsid w:val="00BD091E"/>
    <w:rsid w:val="00BD17D6"/>
    <w:rsid w:val="00BD6305"/>
    <w:rsid w:val="00BD67C7"/>
    <w:rsid w:val="00BD7E43"/>
    <w:rsid w:val="00BE022A"/>
    <w:rsid w:val="00BE0573"/>
    <w:rsid w:val="00BE1663"/>
    <w:rsid w:val="00BE23F2"/>
    <w:rsid w:val="00BE2ACC"/>
    <w:rsid w:val="00BE2FA6"/>
    <w:rsid w:val="00BE37DF"/>
    <w:rsid w:val="00BE418C"/>
    <w:rsid w:val="00BE44DF"/>
    <w:rsid w:val="00BE66C1"/>
    <w:rsid w:val="00BF0D2D"/>
    <w:rsid w:val="00BF3706"/>
    <w:rsid w:val="00BF3901"/>
    <w:rsid w:val="00BF48F1"/>
    <w:rsid w:val="00BF531D"/>
    <w:rsid w:val="00BF5E37"/>
    <w:rsid w:val="00BF626C"/>
    <w:rsid w:val="00BF756D"/>
    <w:rsid w:val="00BF7F56"/>
    <w:rsid w:val="00C00D36"/>
    <w:rsid w:val="00C01100"/>
    <w:rsid w:val="00C0133E"/>
    <w:rsid w:val="00C02772"/>
    <w:rsid w:val="00C02CF3"/>
    <w:rsid w:val="00C032E7"/>
    <w:rsid w:val="00C03F9F"/>
    <w:rsid w:val="00C03FEE"/>
    <w:rsid w:val="00C04124"/>
    <w:rsid w:val="00C05090"/>
    <w:rsid w:val="00C05106"/>
    <w:rsid w:val="00C05A6B"/>
    <w:rsid w:val="00C072E8"/>
    <w:rsid w:val="00C07337"/>
    <w:rsid w:val="00C079BE"/>
    <w:rsid w:val="00C079EA"/>
    <w:rsid w:val="00C07FF6"/>
    <w:rsid w:val="00C10141"/>
    <w:rsid w:val="00C11CF1"/>
    <w:rsid w:val="00C11E34"/>
    <w:rsid w:val="00C11FCA"/>
    <w:rsid w:val="00C12D91"/>
    <w:rsid w:val="00C12EE5"/>
    <w:rsid w:val="00C13D3C"/>
    <w:rsid w:val="00C1400C"/>
    <w:rsid w:val="00C14E3B"/>
    <w:rsid w:val="00C14E80"/>
    <w:rsid w:val="00C14EC5"/>
    <w:rsid w:val="00C15AD9"/>
    <w:rsid w:val="00C16678"/>
    <w:rsid w:val="00C17849"/>
    <w:rsid w:val="00C208D1"/>
    <w:rsid w:val="00C20BC8"/>
    <w:rsid w:val="00C20C24"/>
    <w:rsid w:val="00C21BDF"/>
    <w:rsid w:val="00C223D4"/>
    <w:rsid w:val="00C22402"/>
    <w:rsid w:val="00C22997"/>
    <w:rsid w:val="00C22FBE"/>
    <w:rsid w:val="00C2314F"/>
    <w:rsid w:val="00C23A04"/>
    <w:rsid w:val="00C240DF"/>
    <w:rsid w:val="00C24EDE"/>
    <w:rsid w:val="00C24F86"/>
    <w:rsid w:val="00C25764"/>
    <w:rsid w:val="00C2579B"/>
    <w:rsid w:val="00C267AA"/>
    <w:rsid w:val="00C26AC0"/>
    <w:rsid w:val="00C26AFF"/>
    <w:rsid w:val="00C305C2"/>
    <w:rsid w:val="00C310B4"/>
    <w:rsid w:val="00C31248"/>
    <w:rsid w:val="00C31948"/>
    <w:rsid w:val="00C31F08"/>
    <w:rsid w:val="00C32CE8"/>
    <w:rsid w:val="00C3378D"/>
    <w:rsid w:val="00C33A65"/>
    <w:rsid w:val="00C342FC"/>
    <w:rsid w:val="00C3474B"/>
    <w:rsid w:val="00C3519D"/>
    <w:rsid w:val="00C35FF2"/>
    <w:rsid w:val="00C361E4"/>
    <w:rsid w:val="00C40285"/>
    <w:rsid w:val="00C40F22"/>
    <w:rsid w:val="00C42E2B"/>
    <w:rsid w:val="00C42E9A"/>
    <w:rsid w:val="00C439B4"/>
    <w:rsid w:val="00C45379"/>
    <w:rsid w:val="00C45FB9"/>
    <w:rsid w:val="00C469A7"/>
    <w:rsid w:val="00C46A30"/>
    <w:rsid w:val="00C470C5"/>
    <w:rsid w:val="00C475ED"/>
    <w:rsid w:val="00C478AA"/>
    <w:rsid w:val="00C47D81"/>
    <w:rsid w:val="00C50189"/>
    <w:rsid w:val="00C517B0"/>
    <w:rsid w:val="00C51F02"/>
    <w:rsid w:val="00C5201D"/>
    <w:rsid w:val="00C52DA8"/>
    <w:rsid w:val="00C5325D"/>
    <w:rsid w:val="00C53D46"/>
    <w:rsid w:val="00C54B69"/>
    <w:rsid w:val="00C55858"/>
    <w:rsid w:val="00C55D8A"/>
    <w:rsid w:val="00C56A71"/>
    <w:rsid w:val="00C57044"/>
    <w:rsid w:val="00C5740B"/>
    <w:rsid w:val="00C575A9"/>
    <w:rsid w:val="00C57C2D"/>
    <w:rsid w:val="00C614A5"/>
    <w:rsid w:val="00C620DA"/>
    <w:rsid w:val="00C62623"/>
    <w:rsid w:val="00C62E95"/>
    <w:rsid w:val="00C630D4"/>
    <w:rsid w:val="00C63AA6"/>
    <w:rsid w:val="00C65409"/>
    <w:rsid w:val="00C660C4"/>
    <w:rsid w:val="00C66DB5"/>
    <w:rsid w:val="00C67D39"/>
    <w:rsid w:val="00C67F88"/>
    <w:rsid w:val="00C67F99"/>
    <w:rsid w:val="00C709D9"/>
    <w:rsid w:val="00C70EBE"/>
    <w:rsid w:val="00C70EE4"/>
    <w:rsid w:val="00C719D0"/>
    <w:rsid w:val="00C72E46"/>
    <w:rsid w:val="00C731FC"/>
    <w:rsid w:val="00C7353C"/>
    <w:rsid w:val="00C73721"/>
    <w:rsid w:val="00C73F94"/>
    <w:rsid w:val="00C75422"/>
    <w:rsid w:val="00C7569E"/>
    <w:rsid w:val="00C75B21"/>
    <w:rsid w:val="00C76A8E"/>
    <w:rsid w:val="00C77847"/>
    <w:rsid w:val="00C77A5E"/>
    <w:rsid w:val="00C839BC"/>
    <w:rsid w:val="00C845C4"/>
    <w:rsid w:val="00C849E8"/>
    <w:rsid w:val="00C84DBB"/>
    <w:rsid w:val="00C85DBD"/>
    <w:rsid w:val="00C85F12"/>
    <w:rsid w:val="00C87304"/>
    <w:rsid w:val="00C87526"/>
    <w:rsid w:val="00C87DA8"/>
    <w:rsid w:val="00C87FA1"/>
    <w:rsid w:val="00C90C2B"/>
    <w:rsid w:val="00C90EAF"/>
    <w:rsid w:val="00C91FF8"/>
    <w:rsid w:val="00C927C8"/>
    <w:rsid w:val="00C929B6"/>
    <w:rsid w:val="00C92E3C"/>
    <w:rsid w:val="00C9300A"/>
    <w:rsid w:val="00C93530"/>
    <w:rsid w:val="00C93F38"/>
    <w:rsid w:val="00C943F3"/>
    <w:rsid w:val="00C943F8"/>
    <w:rsid w:val="00C944D3"/>
    <w:rsid w:val="00C948D2"/>
    <w:rsid w:val="00C95F96"/>
    <w:rsid w:val="00C96209"/>
    <w:rsid w:val="00C975F4"/>
    <w:rsid w:val="00CA020D"/>
    <w:rsid w:val="00CA05B2"/>
    <w:rsid w:val="00CA0F11"/>
    <w:rsid w:val="00CA0F72"/>
    <w:rsid w:val="00CA1545"/>
    <w:rsid w:val="00CA296F"/>
    <w:rsid w:val="00CA453E"/>
    <w:rsid w:val="00CA45A9"/>
    <w:rsid w:val="00CA46EA"/>
    <w:rsid w:val="00CA5FA3"/>
    <w:rsid w:val="00CA7219"/>
    <w:rsid w:val="00CA7B9B"/>
    <w:rsid w:val="00CA7D25"/>
    <w:rsid w:val="00CB04EC"/>
    <w:rsid w:val="00CB0541"/>
    <w:rsid w:val="00CB120A"/>
    <w:rsid w:val="00CB22B5"/>
    <w:rsid w:val="00CB2B85"/>
    <w:rsid w:val="00CB2C9A"/>
    <w:rsid w:val="00CB524D"/>
    <w:rsid w:val="00CB5663"/>
    <w:rsid w:val="00CB5E13"/>
    <w:rsid w:val="00CB60B0"/>
    <w:rsid w:val="00CB6C6F"/>
    <w:rsid w:val="00CB707B"/>
    <w:rsid w:val="00CB74E9"/>
    <w:rsid w:val="00CB7821"/>
    <w:rsid w:val="00CB79C7"/>
    <w:rsid w:val="00CB7E67"/>
    <w:rsid w:val="00CC02C7"/>
    <w:rsid w:val="00CC05E1"/>
    <w:rsid w:val="00CC1EC6"/>
    <w:rsid w:val="00CC3719"/>
    <w:rsid w:val="00CC378E"/>
    <w:rsid w:val="00CC38AD"/>
    <w:rsid w:val="00CC404B"/>
    <w:rsid w:val="00CC47F3"/>
    <w:rsid w:val="00CC55C9"/>
    <w:rsid w:val="00CC6B19"/>
    <w:rsid w:val="00CD0617"/>
    <w:rsid w:val="00CD06D2"/>
    <w:rsid w:val="00CD1868"/>
    <w:rsid w:val="00CD1A44"/>
    <w:rsid w:val="00CD1D20"/>
    <w:rsid w:val="00CD2729"/>
    <w:rsid w:val="00CD2A40"/>
    <w:rsid w:val="00CD2A7D"/>
    <w:rsid w:val="00CD33AC"/>
    <w:rsid w:val="00CD536C"/>
    <w:rsid w:val="00CD5A1C"/>
    <w:rsid w:val="00CE0562"/>
    <w:rsid w:val="00CE16A6"/>
    <w:rsid w:val="00CE197C"/>
    <w:rsid w:val="00CE1CCC"/>
    <w:rsid w:val="00CE25B7"/>
    <w:rsid w:val="00CE3346"/>
    <w:rsid w:val="00CE335A"/>
    <w:rsid w:val="00CE43D5"/>
    <w:rsid w:val="00CE5181"/>
    <w:rsid w:val="00CE6585"/>
    <w:rsid w:val="00CE67F3"/>
    <w:rsid w:val="00CE68A3"/>
    <w:rsid w:val="00CE6B34"/>
    <w:rsid w:val="00CF0354"/>
    <w:rsid w:val="00CF039D"/>
    <w:rsid w:val="00CF0C34"/>
    <w:rsid w:val="00CF0F1B"/>
    <w:rsid w:val="00CF19B4"/>
    <w:rsid w:val="00CF19DD"/>
    <w:rsid w:val="00CF1A3A"/>
    <w:rsid w:val="00CF1C85"/>
    <w:rsid w:val="00CF3A2D"/>
    <w:rsid w:val="00CF3B8A"/>
    <w:rsid w:val="00CF403C"/>
    <w:rsid w:val="00CF52B6"/>
    <w:rsid w:val="00CF68C9"/>
    <w:rsid w:val="00CF7C21"/>
    <w:rsid w:val="00CF7FFD"/>
    <w:rsid w:val="00D001E5"/>
    <w:rsid w:val="00D004B1"/>
    <w:rsid w:val="00D012CA"/>
    <w:rsid w:val="00D0250F"/>
    <w:rsid w:val="00D02B74"/>
    <w:rsid w:val="00D02DBB"/>
    <w:rsid w:val="00D03F06"/>
    <w:rsid w:val="00D050C7"/>
    <w:rsid w:val="00D057D3"/>
    <w:rsid w:val="00D0584D"/>
    <w:rsid w:val="00D065B5"/>
    <w:rsid w:val="00D06E44"/>
    <w:rsid w:val="00D07C47"/>
    <w:rsid w:val="00D07EE1"/>
    <w:rsid w:val="00D07FBD"/>
    <w:rsid w:val="00D101C8"/>
    <w:rsid w:val="00D1121D"/>
    <w:rsid w:val="00D11D45"/>
    <w:rsid w:val="00D11E88"/>
    <w:rsid w:val="00D12964"/>
    <w:rsid w:val="00D135D4"/>
    <w:rsid w:val="00D16A2E"/>
    <w:rsid w:val="00D17CE6"/>
    <w:rsid w:val="00D20D3A"/>
    <w:rsid w:val="00D2174B"/>
    <w:rsid w:val="00D23572"/>
    <w:rsid w:val="00D2399B"/>
    <w:rsid w:val="00D25061"/>
    <w:rsid w:val="00D261D5"/>
    <w:rsid w:val="00D26950"/>
    <w:rsid w:val="00D26A49"/>
    <w:rsid w:val="00D30DFB"/>
    <w:rsid w:val="00D31243"/>
    <w:rsid w:val="00D3429C"/>
    <w:rsid w:val="00D342FC"/>
    <w:rsid w:val="00D3445D"/>
    <w:rsid w:val="00D34876"/>
    <w:rsid w:val="00D34C56"/>
    <w:rsid w:val="00D35C45"/>
    <w:rsid w:val="00D367B8"/>
    <w:rsid w:val="00D368E0"/>
    <w:rsid w:val="00D368F6"/>
    <w:rsid w:val="00D36D43"/>
    <w:rsid w:val="00D40C92"/>
    <w:rsid w:val="00D4188C"/>
    <w:rsid w:val="00D41C8E"/>
    <w:rsid w:val="00D41D4A"/>
    <w:rsid w:val="00D42680"/>
    <w:rsid w:val="00D42801"/>
    <w:rsid w:val="00D42FBB"/>
    <w:rsid w:val="00D43333"/>
    <w:rsid w:val="00D43E42"/>
    <w:rsid w:val="00D44112"/>
    <w:rsid w:val="00D45A43"/>
    <w:rsid w:val="00D45F81"/>
    <w:rsid w:val="00D46926"/>
    <w:rsid w:val="00D472BB"/>
    <w:rsid w:val="00D47A9F"/>
    <w:rsid w:val="00D47C08"/>
    <w:rsid w:val="00D47E44"/>
    <w:rsid w:val="00D505F9"/>
    <w:rsid w:val="00D51112"/>
    <w:rsid w:val="00D519DD"/>
    <w:rsid w:val="00D51A4E"/>
    <w:rsid w:val="00D52AF5"/>
    <w:rsid w:val="00D530C5"/>
    <w:rsid w:val="00D53338"/>
    <w:rsid w:val="00D539B1"/>
    <w:rsid w:val="00D53D1E"/>
    <w:rsid w:val="00D54ED3"/>
    <w:rsid w:val="00D559DE"/>
    <w:rsid w:val="00D56093"/>
    <w:rsid w:val="00D57C86"/>
    <w:rsid w:val="00D57EB3"/>
    <w:rsid w:val="00D603FC"/>
    <w:rsid w:val="00D60B39"/>
    <w:rsid w:val="00D62D73"/>
    <w:rsid w:val="00D63011"/>
    <w:rsid w:val="00D63B8F"/>
    <w:rsid w:val="00D63C1C"/>
    <w:rsid w:val="00D640C6"/>
    <w:rsid w:val="00D64487"/>
    <w:rsid w:val="00D64E35"/>
    <w:rsid w:val="00D65B0D"/>
    <w:rsid w:val="00D65E4F"/>
    <w:rsid w:val="00D65F94"/>
    <w:rsid w:val="00D66AD5"/>
    <w:rsid w:val="00D66FA8"/>
    <w:rsid w:val="00D67542"/>
    <w:rsid w:val="00D67C2C"/>
    <w:rsid w:val="00D7077C"/>
    <w:rsid w:val="00D7089F"/>
    <w:rsid w:val="00D716FD"/>
    <w:rsid w:val="00D72F43"/>
    <w:rsid w:val="00D73B4A"/>
    <w:rsid w:val="00D73C13"/>
    <w:rsid w:val="00D7462E"/>
    <w:rsid w:val="00D74AEB"/>
    <w:rsid w:val="00D74EF6"/>
    <w:rsid w:val="00D75995"/>
    <w:rsid w:val="00D75D31"/>
    <w:rsid w:val="00D75DF1"/>
    <w:rsid w:val="00D76740"/>
    <w:rsid w:val="00D7680E"/>
    <w:rsid w:val="00D76900"/>
    <w:rsid w:val="00D772C1"/>
    <w:rsid w:val="00D80314"/>
    <w:rsid w:val="00D81ED7"/>
    <w:rsid w:val="00D82643"/>
    <w:rsid w:val="00D83806"/>
    <w:rsid w:val="00D84622"/>
    <w:rsid w:val="00D84A3E"/>
    <w:rsid w:val="00D856A0"/>
    <w:rsid w:val="00D85B34"/>
    <w:rsid w:val="00D861AA"/>
    <w:rsid w:val="00D872E0"/>
    <w:rsid w:val="00D87A60"/>
    <w:rsid w:val="00D92E58"/>
    <w:rsid w:val="00D92E7A"/>
    <w:rsid w:val="00D93778"/>
    <w:rsid w:val="00D946DA"/>
    <w:rsid w:val="00D94754"/>
    <w:rsid w:val="00D94EF7"/>
    <w:rsid w:val="00D9599B"/>
    <w:rsid w:val="00D96BD9"/>
    <w:rsid w:val="00D97A20"/>
    <w:rsid w:val="00DA1808"/>
    <w:rsid w:val="00DA2868"/>
    <w:rsid w:val="00DA2A18"/>
    <w:rsid w:val="00DA2AE8"/>
    <w:rsid w:val="00DA43CF"/>
    <w:rsid w:val="00DA4AD2"/>
    <w:rsid w:val="00DA4B00"/>
    <w:rsid w:val="00DA4C43"/>
    <w:rsid w:val="00DA4E25"/>
    <w:rsid w:val="00DA58DD"/>
    <w:rsid w:val="00DA5B0A"/>
    <w:rsid w:val="00DA5ECB"/>
    <w:rsid w:val="00DA69AE"/>
    <w:rsid w:val="00DA6A99"/>
    <w:rsid w:val="00DA6DBD"/>
    <w:rsid w:val="00DA70B0"/>
    <w:rsid w:val="00DB0847"/>
    <w:rsid w:val="00DB21B2"/>
    <w:rsid w:val="00DB2DC2"/>
    <w:rsid w:val="00DB39B4"/>
    <w:rsid w:val="00DB493B"/>
    <w:rsid w:val="00DB4F30"/>
    <w:rsid w:val="00DB522F"/>
    <w:rsid w:val="00DB54DA"/>
    <w:rsid w:val="00DB565F"/>
    <w:rsid w:val="00DB749A"/>
    <w:rsid w:val="00DC184E"/>
    <w:rsid w:val="00DC1A11"/>
    <w:rsid w:val="00DC1DB5"/>
    <w:rsid w:val="00DC20D1"/>
    <w:rsid w:val="00DC2DBE"/>
    <w:rsid w:val="00DC30A8"/>
    <w:rsid w:val="00DC3AFC"/>
    <w:rsid w:val="00DC3BD6"/>
    <w:rsid w:val="00DC4338"/>
    <w:rsid w:val="00DC550F"/>
    <w:rsid w:val="00DC5F4F"/>
    <w:rsid w:val="00DC613C"/>
    <w:rsid w:val="00DD03BC"/>
    <w:rsid w:val="00DD042F"/>
    <w:rsid w:val="00DD05FD"/>
    <w:rsid w:val="00DD08BB"/>
    <w:rsid w:val="00DD1368"/>
    <w:rsid w:val="00DD17A2"/>
    <w:rsid w:val="00DD17D6"/>
    <w:rsid w:val="00DD1A9E"/>
    <w:rsid w:val="00DD1F17"/>
    <w:rsid w:val="00DD23D0"/>
    <w:rsid w:val="00DD2A71"/>
    <w:rsid w:val="00DD2CB1"/>
    <w:rsid w:val="00DD4A92"/>
    <w:rsid w:val="00DD5557"/>
    <w:rsid w:val="00DD5A61"/>
    <w:rsid w:val="00DD6DA1"/>
    <w:rsid w:val="00DD718D"/>
    <w:rsid w:val="00DD7302"/>
    <w:rsid w:val="00DD73D1"/>
    <w:rsid w:val="00DD75D8"/>
    <w:rsid w:val="00DD7AFB"/>
    <w:rsid w:val="00DD7F1F"/>
    <w:rsid w:val="00DE1041"/>
    <w:rsid w:val="00DE152B"/>
    <w:rsid w:val="00DE214F"/>
    <w:rsid w:val="00DE219F"/>
    <w:rsid w:val="00DE2A2B"/>
    <w:rsid w:val="00DE3365"/>
    <w:rsid w:val="00DE3632"/>
    <w:rsid w:val="00DE3BA7"/>
    <w:rsid w:val="00DE439B"/>
    <w:rsid w:val="00DE4962"/>
    <w:rsid w:val="00DE59D5"/>
    <w:rsid w:val="00DE5AC9"/>
    <w:rsid w:val="00DE5C2B"/>
    <w:rsid w:val="00DE6314"/>
    <w:rsid w:val="00DE637F"/>
    <w:rsid w:val="00DE6476"/>
    <w:rsid w:val="00DE723B"/>
    <w:rsid w:val="00DE72BC"/>
    <w:rsid w:val="00DE7740"/>
    <w:rsid w:val="00DF0D1F"/>
    <w:rsid w:val="00DF1443"/>
    <w:rsid w:val="00DF2115"/>
    <w:rsid w:val="00DF31C0"/>
    <w:rsid w:val="00DF3D7B"/>
    <w:rsid w:val="00DF4B44"/>
    <w:rsid w:val="00DF511B"/>
    <w:rsid w:val="00DF5709"/>
    <w:rsid w:val="00DF70D6"/>
    <w:rsid w:val="00DF719D"/>
    <w:rsid w:val="00DF7D23"/>
    <w:rsid w:val="00E0020E"/>
    <w:rsid w:val="00E0099B"/>
    <w:rsid w:val="00E01B13"/>
    <w:rsid w:val="00E02E05"/>
    <w:rsid w:val="00E040B2"/>
    <w:rsid w:val="00E040D3"/>
    <w:rsid w:val="00E0460B"/>
    <w:rsid w:val="00E04C1F"/>
    <w:rsid w:val="00E05FF0"/>
    <w:rsid w:val="00E07145"/>
    <w:rsid w:val="00E07263"/>
    <w:rsid w:val="00E07923"/>
    <w:rsid w:val="00E079C6"/>
    <w:rsid w:val="00E07DFD"/>
    <w:rsid w:val="00E109A3"/>
    <w:rsid w:val="00E11989"/>
    <w:rsid w:val="00E12341"/>
    <w:rsid w:val="00E1270E"/>
    <w:rsid w:val="00E12767"/>
    <w:rsid w:val="00E14871"/>
    <w:rsid w:val="00E14D3A"/>
    <w:rsid w:val="00E15F5B"/>
    <w:rsid w:val="00E16205"/>
    <w:rsid w:val="00E16C31"/>
    <w:rsid w:val="00E1712D"/>
    <w:rsid w:val="00E20008"/>
    <w:rsid w:val="00E2168E"/>
    <w:rsid w:val="00E2302A"/>
    <w:rsid w:val="00E230DC"/>
    <w:rsid w:val="00E23665"/>
    <w:rsid w:val="00E237D5"/>
    <w:rsid w:val="00E23840"/>
    <w:rsid w:val="00E24AFC"/>
    <w:rsid w:val="00E259AB"/>
    <w:rsid w:val="00E265AE"/>
    <w:rsid w:val="00E26CE7"/>
    <w:rsid w:val="00E279FC"/>
    <w:rsid w:val="00E27D8F"/>
    <w:rsid w:val="00E3055F"/>
    <w:rsid w:val="00E3133E"/>
    <w:rsid w:val="00E316B7"/>
    <w:rsid w:val="00E320AF"/>
    <w:rsid w:val="00E3270D"/>
    <w:rsid w:val="00E32F84"/>
    <w:rsid w:val="00E33E4D"/>
    <w:rsid w:val="00E34942"/>
    <w:rsid w:val="00E34D0C"/>
    <w:rsid w:val="00E34F06"/>
    <w:rsid w:val="00E35027"/>
    <w:rsid w:val="00E3676B"/>
    <w:rsid w:val="00E3769B"/>
    <w:rsid w:val="00E40457"/>
    <w:rsid w:val="00E4051B"/>
    <w:rsid w:val="00E41199"/>
    <w:rsid w:val="00E4295A"/>
    <w:rsid w:val="00E42A72"/>
    <w:rsid w:val="00E42EF2"/>
    <w:rsid w:val="00E4324E"/>
    <w:rsid w:val="00E43384"/>
    <w:rsid w:val="00E43D85"/>
    <w:rsid w:val="00E43FB1"/>
    <w:rsid w:val="00E442E4"/>
    <w:rsid w:val="00E44CB2"/>
    <w:rsid w:val="00E4521E"/>
    <w:rsid w:val="00E45EF9"/>
    <w:rsid w:val="00E46A66"/>
    <w:rsid w:val="00E4726D"/>
    <w:rsid w:val="00E473A7"/>
    <w:rsid w:val="00E51219"/>
    <w:rsid w:val="00E51341"/>
    <w:rsid w:val="00E5138D"/>
    <w:rsid w:val="00E51733"/>
    <w:rsid w:val="00E52045"/>
    <w:rsid w:val="00E52F87"/>
    <w:rsid w:val="00E534C7"/>
    <w:rsid w:val="00E53B9E"/>
    <w:rsid w:val="00E542CA"/>
    <w:rsid w:val="00E550AB"/>
    <w:rsid w:val="00E56740"/>
    <w:rsid w:val="00E56BE4"/>
    <w:rsid w:val="00E56E46"/>
    <w:rsid w:val="00E573AC"/>
    <w:rsid w:val="00E57760"/>
    <w:rsid w:val="00E6062E"/>
    <w:rsid w:val="00E60D88"/>
    <w:rsid w:val="00E62FC2"/>
    <w:rsid w:val="00E64CB4"/>
    <w:rsid w:val="00E64D14"/>
    <w:rsid w:val="00E66C69"/>
    <w:rsid w:val="00E67216"/>
    <w:rsid w:val="00E674BA"/>
    <w:rsid w:val="00E675F5"/>
    <w:rsid w:val="00E67710"/>
    <w:rsid w:val="00E70139"/>
    <w:rsid w:val="00E70B5D"/>
    <w:rsid w:val="00E70CE5"/>
    <w:rsid w:val="00E710B1"/>
    <w:rsid w:val="00E710B6"/>
    <w:rsid w:val="00E71659"/>
    <w:rsid w:val="00E73D49"/>
    <w:rsid w:val="00E73F30"/>
    <w:rsid w:val="00E74249"/>
    <w:rsid w:val="00E74EE8"/>
    <w:rsid w:val="00E753F1"/>
    <w:rsid w:val="00E75445"/>
    <w:rsid w:val="00E75489"/>
    <w:rsid w:val="00E75792"/>
    <w:rsid w:val="00E75F67"/>
    <w:rsid w:val="00E76137"/>
    <w:rsid w:val="00E76394"/>
    <w:rsid w:val="00E77AFA"/>
    <w:rsid w:val="00E77B02"/>
    <w:rsid w:val="00E77CD0"/>
    <w:rsid w:val="00E8042E"/>
    <w:rsid w:val="00E808A7"/>
    <w:rsid w:val="00E808E6"/>
    <w:rsid w:val="00E80FB7"/>
    <w:rsid w:val="00E819A5"/>
    <w:rsid w:val="00E81BFB"/>
    <w:rsid w:val="00E81FAC"/>
    <w:rsid w:val="00E83823"/>
    <w:rsid w:val="00E85E62"/>
    <w:rsid w:val="00E86351"/>
    <w:rsid w:val="00E87234"/>
    <w:rsid w:val="00E87775"/>
    <w:rsid w:val="00E87AF2"/>
    <w:rsid w:val="00E9141D"/>
    <w:rsid w:val="00E915CB"/>
    <w:rsid w:val="00E92321"/>
    <w:rsid w:val="00E9240F"/>
    <w:rsid w:val="00E92B8D"/>
    <w:rsid w:val="00E92C2D"/>
    <w:rsid w:val="00E93A54"/>
    <w:rsid w:val="00E93E67"/>
    <w:rsid w:val="00E947EC"/>
    <w:rsid w:val="00E94EF4"/>
    <w:rsid w:val="00E94F50"/>
    <w:rsid w:val="00E95106"/>
    <w:rsid w:val="00E958A3"/>
    <w:rsid w:val="00E95964"/>
    <w:rsid w:val="00E961E5"/>
    <w:rsid w:val="00E9686C"/>
    <w:rsid w:val="00E96B67"/>
    <w:rsid w:val="00E9712D"/>
    <w:rsid w:val="00E97255"/>
    <w:rsid w:val="00EA06DC"/>
    <w:rsid w:val="00EA089E"/>
    <w:rsid w:val="00EA0CE1"/>
    <w:rsid w:val="00EA1424"/>
    <w:rsid w:val="00EA1579"/>
    <w:rsid w:val="00EA15A2"/>
    <w:rsid w:val="00EA1728"/>
    <w:rsid w:val="00EA21DB"/>
    <w:rsid w:val="00EA2245"/>
    <w:rsid w:val="00EA4026"/>
    <w:rsid w:val="00EA4347"/>
    <w:rsid w:val="00EA46D6"/>
    <w:rsid w:val="00EA5EE2"/>
    <w:rsid w:val="00EA5F8F"/>
    <w:rsid w:val="00EA6D1F"/>
    <w:rsid w:val="00EA793C"/>
    <w:rsid w:val="00EA7D16"/>
    <w:rsid w:val="00EB0C7B"/>
    <w:rsid w:val="00EB0D79"/>
    <w:rsid w:val="00EB3511"/>
    <w:rsid w:val="00EB3FF6"/>
    <w:rsid w:val="00EB45F7"/>
    <w:rsid w:val="00EB496A"/>
    <w:rsid w:val="00EB4D3A"/>
    <w:rsid w:val="00EB5D32"/>
    <w:rsid w:val="00EB5FC4"/>
    <w:rsid w:val="00EB71BF"/>
    <w:rsid w:val="00EB7C0F"/>
    <w:rsid w:val="00EB7E59"/>
    <w:rsid w:val="00EB7EEF"/>
    <w:rsid w:val="00EB7F71"/>
    <w:rsid w:val="00EC0C8C"/>
    <w:rsid w:val="00EC0D9C"/>
    <w:rsid w:val="00EC15FD"/>
    <w:rsid w:val="00EC17BE"/>
    <w:rsid w:val="00EC1DB9"/>
    <w:rsid w:val="00EC1F86"/>
    <w:rsid w:val="00EC2880"/>
    <w:rsid w:val="00EC3123"/>
    <w:rsid w:val="00EC4B86"/>
    <w:rsid w:val="00EC55A3"/>
    <w:rsid w:val="00EC55D0"/>
    <w:rsid w:val="00EC6B1C"/>
    <w:rsid w:val="00EC6B75"/>
    <w:rsid w:val="00EC73A5"/>
    <w:rsid w:val="00ED0023"/>
    <w:rsid w:val="00ED1315"/>
    <w:rsid w:val="00ED147F"/>
    <w:rsid w:val="00ED1C2F"/>
    <w:rsid w:val="00ED247D"/>
    <w:rsid w:val="00ED26D5"/>
    <w:rsid w:val="00ED2CC2"/>
    <w:rsid w:val="00ED41AF"/>
    <w:rsid w:val="00ED4E1E"/>
    <w:rsid w:val="00ED508B"/>
    <w:rsid w:val="00ED5292"/>
    <w:rsid w:val="00ED537F"/>
    <w:rsid w:val="00ED6C00"/>
    <w:rsid w:val="00ED79C0"/>
    <w:rsid w:val="00ED7BE9"/>
    <w:rsid w:val="00EE0ADE"/>
    <w:rsid w:val="00EE13D7"/>
    <w:rsid w:val="00EE162C"/>
    <w:rsid w:val="00EE1825"/>
    <w:rsid w:val="00EE1844"/>
    <w:rsid w:val="00EE2875"/>
    <w:rsid w:val="00EE28B7"/>
    <w:rsid w:val="00EE2B61"/>
    <w:rsid w:val="00EE36CD"/>
    <w:rsid w:val="00EE49E3"/>
    <w:rsid w:val="00EE70E8"/>
    <w:rsid w:val="00EE71C0"/>
    <w:rsid w:val="00EF0BA1"/>
    <w:rsid w:val="00EF0D3B"/>
    <w:rsid w:val="00EF2506"/>
    <w:rsid w:val="00EF3605"/>
    <w:rsid w:val="00EF447E"/>
    <w:rsid w:val="00EF456C"/>
    <w:rsid w:val="00EF46A0"/>
    <w:rsid w:val="00EF47BB"/>
    <w:rsid w:val="00EF4A74"/>
    <w:rsid w:val="00EF5436"/>
    <w:rsid w:val="00EF56BB"/>
    <w:rsid w:val="00EF5DBD"/>
    <w:rsid w:val="00EF751C"/>
    <w:rsid w:val="00F00387"/>
    <w:rsid w:val="00F004DC"/>
    <w:rsid w:val="00F016A4"/>
    <w:rsid w:val="00F01899"/>
    <w:rsid w:val="00F02990"/>
    <w:rsid w:val="00F03030"/>
    <w:rsid w:val="00F03A2D"/>
    <w:rsid w:val="00F047E1"/>
    <w:rsid w:val="00F04D27"/>
    <w:rsid w:val="00F05107"/>
    <w:rsid w:val="00F05EFF"/>
    <w:rsid w:val="00F0712B"/>
    <w:rsid w:val="00F0737B"/>
    <w:rsid w:val="00F1080F"/>
    <w:rsid w:val="00F11287"/>
    <w:rsid w:val="00F11355"/>
    <w:rsid w:val="00F118C9"/>
    <w:rsid w:val="00F11DEE"/>
    <w:rsid w:val="00F122A3"/>
    <w:rsid w:val="00F12A14"/>
    <w:rsid w:val="00F12A56"/>
    <w:rsid w:val="00F141A4"/>
    <w:rsid w:val="00F1461E"/>
    <w:rsid w:val="00F1472E"/>
    <w:rsid w:val="00F159E1"/>
    <w:rsid w:val="00F17169"/>
    <w:rsid w:val="00F17445"/>
    <w:rsid w:val="00F2043B"/>
    <w:rsid w:val="00F20C8A"/>
    <w:rsid w:val="00F21123"/>
    <w:rsid w:val="00F21470"/>
    <w:rsid w:val="00F23115"/>
    <w:rsid w:val="00F23CEA"/>
    <w:rsid w:val="00F244A1"/>
    <w:rsid w:val="00F24549"/>
    <w:rsid w:val="00F24E50"/>
    <w:rsid w:val="00F24EAD"/>
    <w:rsid w:val="00F2512A"/>
    <w:rsid w:val="00F2542E"/>
    <w:rsid w:val="00F26400"/>
    <w:rsid w:val="00F27115"/>
    <w:rsid w:val="00F27240"/>
    <w:rsid w:val="00F2766C"/>
    <w:rsid w:val="00F27E57"/>
    <w:rsid w:val="00F307DF"/>
    <w:rsid w:val="00F30938"/>
    <w:rsid w:val="00F31FCB"/>
    <w:rsid w:val="00F32459"/>
    <w:rsid w:val="00F32643"/>
    <w:rsid w:val="00F3266E"/>
    <w:rsid w:val="00F330B5"/>
    <w:rsid w:val="00F33522"/>
    <w:rsid w:val="00F347DB"/>
    <w:rsid w:val="00F34FF0"/>
    <w:rsid w:val="00F35539"/>
    <w:rsid w:val="00F3588D"/>
    <w:rsid w:val="00F3653A"/>
    <w:rsid w:val="00F368CF"/>
    <w:rsid w:val="00F402CD"/>
    <w:rsid w:val="00F40723"/>
    <w:rsid w:val="00F40967"/>
    <w:rsid w:val="00F41B58"/>
    <w:rsid w:val="00F4215D"/>
    <w:rsid w:val="00F4286F"/>
    <w:rsid w:val="00F4298E"/>
    <w:rsid w:val="00F42AD6"/>
    <w:rsid w:val="00F44898"/>
    <w:rsid w:val="00F44A34"/>
    <w:rsid w:val="00F44C14"/>
    <w:rsid w:val="00F46280"/>
    <w:rsid w:val="00F46923"/>
    <w:rsid w:val="00F4741A"/>
    <w:rsid w:val="00F504A6"/>
    <w:rsid w:val="00F51898"/>
    <w:rsid w:val="00F51FAA"/>
    <w:rsid w:val="00F52B99"/>
    <w:rsid w:val="00F53135"/>
    <w:rsid w:val="00F53410"/>
    <w:rsid w:val="00F548A4"/>
    <w:rsid w:val="00F55365"/>
    <w:rsid w:val="00F554A4"/>
    <w:rsid w:val="00F55724"/>
    <w:rsid w:val="00F56D2A"/>
    <w:rsid w:val="00F57341"/>
    <w:rsid w:val="00F60330"/>
    <w:rsid w:val="00F61093"/>
    <w:rsid w:val="00F62262"/>
    <w:rsid w:val="00F64633"/>
    <w:rsid w:val="00F646D7"/>
    <w:rsid w:val="00F648FE"/>
    <w:rsid w:val="00F64E3F"/>
    <w:rsid w:val="00F6537F"/>
    <w:rsid w:val="00F65D09"/>
    <w:rsid w:val="00F660ED"/>
    <w:rsid w:val="00F66420"/>
    <w:rsid w:val="00F66F7D"/>
    <w:rsid w:val="00F66FBE"/>
    <w:rsid w:val="00F67247"/>
    <w:rsid w:val="00F67598"/>
    <w:rsid w:val="00F67993"/>
    <w:rsid w:val="00F67B27"/>
    <w:rsid w:val="00F70504"/>
    <w:rsid w:val="00F7262F"/>
    <w:rsid w:val="00F72715"/>
    <w:rsid w:val="00F727CB"/>
    <w:rsid w:val="00F72EE2"/>
    <w:rsid w:val="00F731B0"/>
    <w:rsid w:val="00F73935"/>
    <w:rsid w:val="00F73E91"/>
    <w:rsid w:val="00F75D9A"/>
    <w:rsid w:val="00F76371"/>
    <w:rsid w:val="00F76870"/>
    <w:rsid w:val="00F77727"/>
    <w:rsid w:val="00F77E4E"/>
    <w:rsid w:val="00F80D92"/>
    <w:rsid w:val="00F815D5"/>
    <w:rsid w:val="00F82CA0"/>
    <w:rsid w:val="00F833C3"/>
    <w:rsid w:val="00F8482B"/>
    <w:rsid w:val="00F84B17"/>
    <w:rsid w:val="00F858B2"/>
    <w:rsid w:val="00F85AD2"/>
    <w:rsid w:val="00F85C7A"/>
    <w:rsid w:val="00F871B6"/>
    <w:rsid w:val="00F87BA6"/>
    <w:rsid w:val="00F90704"/>
    <w:rsid w:val="00F90CB2"/>
    <w:rsid w:val="00F91D0F"/>
    <w:rsid w:val="00F91D72"/>
    <w:rsid w:val="00F9268B"/>
    <w:rsid w:val="00F931DF"/>
    <w:rsid w:val="00F93670"/>
    <w:rsid w:val="00F936B5"/>
    <w:rsid w:val="00F939CD"/>
    <w:rsid w:val="00F93E43"/>
    <w:rsid w:val="00F94546"/>
    <w:rsid w:val="00F94A21"/>
    <w:rsid w:val="00F94EDB"/>
    <w:rsid w:val="00F961EB"/>
    <w:rsid w:val="00F96449"/>
    <w:rsid w:val="00F9761B"/>
    <w:rsid w:val="00FA0072"/>
    <w:rsid w:val="00FA057C"/>
    <w:rsid w:val="00FA079C"/>
    <w:rsid w:val="00FA0C23"/>
    <w:rsid w:val="00FA1387"/>
    <w:rsid w:val="00FA1D46"/>
    <w:rsid w:val="00FA305B"/>
    <w:rsid w:val="00FA3706"/>
    <w:rsid w:val="00FA373A"/>
    <w:rsid w:val="00FA47FF"/>
    <w:rsid w:val="00FA63B5"/>
    <w:rsid w:val="00FA663F"/>
    <w:rsid w:val="00FA6896"/>
    <w:rsid w:val="00FA6B5C"/>
    <w:rsid w:val="00FA6C01"/>
    <w:rsid w:val="00FA75A8"/>
    <w:rsid w:val="00FA7B73"/>
    <w:rsid w:val="00FA7EC7"/>
    <w:rsid w:val="00FB023D"/>
    <w:rsid w:val="00FB076D"/>
    <w:rsid w:val="00FB1B14"/>
    <w:rsid w:val="00FB27DD"/>
    <w:rsid w:val="00FB3418"/>
    <w:rsid w:val="00FB3D28"/>
    <w:rsid w:val="00FB48DD"/>
    <w:rsid w:val="00FB4F70"/>
    <w:rsid w:val="00FB5115"/>
    <w:rsid w:val="00FB57B8"/>
    <w:rsid w:val="00FB5B09"/>
    <w:rsid w:val="00FB6091"/>
    <w:rsid w:val="00FB7050"/>
    <w:rsid w:val="00FB7C8B"/>
    <w:rsid w:val="00FB7F37"/>
    <w:rsid w:val="00FC0BC8"/>
    <w:rsid w:val="00FC10D2"/>
    <w:rsid w:val="00FC1414"/>
    <w:rsid w:val="00FC22BE"/>
    <w:rsid w:val="00FC2653"/>
    <w:rsid w:val="00FC2C11"/>
    <w:rsid w:val="00FC391E"/>
    <w:rsid w:val="00FC3F61"/>
    <w:rsid w:val="00FC4F2A"/>
    <w:rsid w:val="00FC700C"/>
    <w:rsid w:val="00FC7D49"/>
    <w:rsid w:val="00FC7DB4"/>
    <w:rsid w:val="00FD0BCC"/>
    <w:rsid w:val="00FD0F42"/>
    <w:rsid w:val="00FD19EF"/>
    <w:rsid w:val="00FD236A"/>
    <w:rsid w:val="00FD288E"/>
    <w:rsid w:val="00FD33B2"/>
    <w:rsid w:val="00FD347D"/>
    <w:rsid w:val="00FD38C6"/>
    <w:rsid w:val="00FD3F48"/>
    <w:rsid w:val="00FD4231"/>
    <w:rsid w:val="00FD4418"/>
    <w:rsid w:val="00FD466E"/>
    <w:rsid w:val="00FD48E1"/>
    <w:rsid w:val="00FD4AF0"/>
    <w:rsid w:val="00FD5B17"/>
    <w:rsid w:val="00FD6277"/>
    <w:rsid w:val="00FD6442"/>
    <w:rsid w:val="00FD7044"/>
    <w:rsid w:val="00FD70F8"/>
    <w:rsid w:val="00FE0067"/>
    <w:rsid w:val="00FE1780"/>
    <w:rsid w:val="00FE1E75"/>
    <w:rsid w:val="00FE24F6"/>
    <w:rsid w:val="00FE2A81"/>
    <w:rsid w:val="00FE2C95"/>
    <w:rsid w:val="00FE2DAF"/>
    <w:rsid w:val="00FE2F60"/>
    <w:rsid w:val="00FE33CC"/>
    <w:rsid w:val="00FE3638"/>
    <w:rsid w:val="00FE39FB"/>
    <w:rsid w:val="00FE3AC1"/>
    <w:rsid w:val="00FE3FC0"/>
    <w:rsid w:val="00FE4213"/>
    <w:rsid w:val="00FE5F03"/>
    <w:rsid w:val="00FE69E5"/>
    <w:rsid w:val="00FE6ADC"/>
    <w:rsid w:val="00FF0280"/>
    <w:rsid w:val="00FF0354"/>
    <w:rsid w:val="00FF061D"/>
    <w:rsid w:val="00FF0894"/>
    <w:rsid w:val="00FF0B85"/>
    <w:rsid w:val="00FF0F1D"/>
    <w:rsid w:val="00FF1400"/>
    <w:rsid w:val="00FF25DC"/>
    <w:rsid w:val="00FF3B24"/>
    <w:rsid w:val="00FF3F4A"/>
    <w:rsid w:val="00FF45A7"/>
    <w:rsid w:val="00FF4CBB"/>
    <w:rsid w:val="00FF4F20"/>
    <w:rsid w:val="00FF5C0D"/>
    <w:rsid w:val="00FF6442"/>
    <w:rsid w:val="00FF7581"/>
    <w:rsid w:val="00FF76F1"/>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3AD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CF1"/>
    <w:rPr>
      <w:sz w:val="24"/>
      <w:szCs w:val="24"/>
    </w:rPr>
  </w:style>
  <w:style w:type="paragraph" w:styleId="Heading1">
    <w:name w:val="heading 1"/>
    <w:basedOn w:val="Normal"/>
    <w:next w:val="Normal"/>
    <w:link w:val="Heading1Char"/>
    <w:qFormat/>
    <w:rsid w:val="00554CF6"/>
    <w:pPr>
      <w:keepNext/>
      <w:outlineLvl w:val="0"/>
    </w:pPr>
    <w:rPr>
      <w:rFonts w:ascii="Arial" w:hAnsi="Arial"/>
      <w:i/>
      <w:iCs/>
      <w:sz w:val="22"/>
    </w:rPr>
  </w:style>
  <w:style w:type="paragraph" w:styleId="Heading2">
    <w:name w:val="heading 2"/>
    <w:basedOn w:val="Normal"/>
    <w:next w:val="Normal"/>
    <w:link w:val="Heading2Char"/>
    <w:uiPriority w:val="1"/>
    <w:unhideWhenUsed/>
    <w:qFormat/>
    <w:rsid w:val="001B64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9164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916414"/>
    <w:pPr>
      <w:widowControl w:val="0"/>
      <w:ind w:left="840" w:hanging="720"/>
      <w:outlineLvl w:val="3"/>
    </w:pPr>
    <w:rPr>
      <w:rFonts w:cstheme="min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369B7"/>
    <w:pPr>
      <w:spacing w:before="100" w:beforeAutospacing="1" w:after="100" w:afterAutospacing="1"/>
    </w:pPr>
  </w:style>
  <w:style w:type="paragraph" w:styleId="Header">
    <w:name w:val="header"/>
    <w:basedOn w:val="Normal"/>
    <w:link w:val="HeaderChar"/>
    <w:uiPriority w:val="99"/>
    <w:rsid w:val="00CF0C34"/>
    <w:pPr>
      <w:tabs>
        <w:tab w:val="center" w:pos="4320"/>
        <w:tab w:val="right" w:pos="8640"/>
      </w:tabs>
    </w:pPr>
  </w:style>
  <w:style w:type="paragraph" w:styleId="Footer">
    <w:name w:val="footer"/>
    <w:basedOn w:val="Normal"/>
    <w:link w:val="FooterChar"/>
    <w:uiPriority w:val="99"/>
    <w:rsid w:val="00CF0C34"/>
    <w:pPr>
      <w:tabs>
        <w:tab w:val="center" w:pos="4320"/>
        <w:tab w:val="right" w:pos="8640"/>
      </w:tabs>
    </w:pPr>
  </w:style>
  <w:style w:type="character" w:styleId="PageNumber">
    <w:name w:val="page number"/>
    <w:basedOn w:val="DefaultParagraphFont"/>
    <w:rsid w:val="00CF0C34"/>
  </w:style>
  <w:style w:type="paragraph" w:styleId="BodyTextIndent">
    <w:name w:val="Body Text Indent"/>
    <w:basedOn w:val="Normal"/>
    <w:link w:val="BodyTextIndentChar"/>
    <w:rsid w:val="00975C38"/>
    <w:pPr>
      <w:numPr>
        <w:ilvl w:val="12"/>
      </w:numPr>
      <w:ind w:left="288" w:hanging="288"/>
    </w:pPr>
  </w:style>
  <w:style w:type="character" w:styleId="Hyperlink">
    <w:name w:val="Hyperlink"/>
    <w:basedOn w:val="DefaultParagraphFont"/>
    <w:uiPriority w:val="99"/>
    <w:rsid w:val="00975C38"/>
    <w:rPr>
      <w:color w:val="0000FF"/>
      <w:u w:val="single"/>
    </w:rPr>
  </w:style>
  <w:style w:type="character" w:styleId="FollowedHyperlink">
    <w:name w:val="FollowedHyperlink"/>
    <w:basedOn w:val="DefaultParagraphFont"/>
    <w:rsid w:val="003A33C4"/>
    <w:rPr>
      <w:color w:val="606420"/>
      <w:u w:val="single"/>
    </w:rPr>
  </w:style>
  <w:style w:type="paragraph" w:customStyle="1" w:styleId="msolistparagraph0">
    <w:name w:val="msolistparagraph"/>
    <w:basedOn w:val="Normal"/>
    <w:rsid w:val="00AA40E2"/>
    <w:pPr>
      <w:ind w:left="720"/>
    </w:pPr>
    <w:rPr>
      <w:rFonts w:ascii="Calibri" w:hAnsi="Calibri"/>
      <w:sz w:val="22"/>
      <w:szCs w:val="22"/>
    </w:rPr>
  </w:style>
  <w:style w:type="paragraph" w:styleId="BodyText">
    <w:name w:val="Body Text"/>
    <w:basedOn w:val="Normal"/>
    <w:link w:val="BodyTextChar"/>
    <w:uiPriority w:val="1"/>
    <w:qFormat/>
    <w:rsid w:val="000412C7"/>
    <w:pPr>
      <w:spacing w:after="120"/>
    </w:pPr>
  </w:style>
  <w:style w:type="paragraph" w:styleId="BodyTextIndent2">
    <w:name w:val="Body Text Indent 2"/>
    <w:basedOn w:val="Normal"/>
    <w:link w:val="BodyTextIndent2Char"/>
    <w:rsid w:val="000412C7"/>
    <w:pPr>
      <w:spacing w:after="120" w:line="480" w:lineRule="auto"/>
      <w:ind w:left="360"/>
    </w:pPr>
  </w:style>
  <w:style w:type="character" w:styleId="HTMLAcronym">
    <w:name w:val="HTML Acronym"/>
    <w:basedOn w:val="DefaultParagraphFont"/>
    <w:rsid w:val="004B16E3"/>
  </w:style>
  <w:style w:type="table" w:styleId="TableGrid">
    <w:name w:val="Table Grid"/>
    <w:basedOn w:val="TableNormal"/>
    <w:uiPriority w:val="39"/>
    <w:rsid w:val="00CB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50BA7"/>
    <w:rPr>
      <w:b/>
      <w:bCs/>
      <w:sz w:val="20"/>
      <w:szCs w:val="20"/>
    </w:rPr>
  </w:style>
  <w:style w:type="paragraph" w:styleId="BodyText2">
    <w:name w:val="Body Text 2"/>
    <w:basedOn w:val="Normal"/>
    <w:link w:val="BodyText2Char"/>
    <w:rsid w:val="002C4EEA"/>
    <w:pPr>
      <w:spacing w:after="120" w:line="480" w:lineRule="auto"/>
    </w:pPr>
  </w:style>
  <w:style w:type="character" w:customStyle="1" w:styleId="FooterChar">
    <w:name w:val="Footer Char"/>
    <w:basedOn w:val="DefaultParagraphFont"/>
    <w:link w:val="Footer"/>
    <w:uiPriority w:val="99"/>
    <w:rsid w:val="00571333"/>
    <w:rPr>
      <w:sz w:val="24"/>
      <w:szCs w:val="24"/>
    </w:rPr>
  </w:style>
  <w:style w:type="paragraph" w:styleId="BalloonText">
    <w:name w:val="Balloon Text"/>
    <w:basedOn w:val="Normal"/>
    <w:link w:val="BalloonTextChar"/>
    <w:uiPriority w:val="99"/>
    <w:rsid w:val="00571333"/>
    <w:rPr>
      <w:rFonts w:ascii="Tahoma" w:hAnsi="Tahoma" w:cs="Tahoma"/>
      <w:sz w:val="16"/>
      <w:szCs w:val="16"/>
    </w:rPr>
  </w:style>
  <w:style w:type="character" w:customStyle="1" w:styleId="BalloonTextChar">
    <w:name w:val="Balloon Text Char"/>
    <w:basedOn w:val="DefaultParagraphFont"/>
    <w:link w:val="BalloonText"/>
    <w:uiPriority w:val="99"/>
    <w:rsid w:val="00571333"/>
    <w:rPr>
      <w:rFonts w:ascii="Tahoma" w:hAnsi="Tahoma" w:cs="Tahoma"/>
      <w:sz w:val="16"/>
      <w:szCs w:val="16"/>
    </w:rPr>
  </w:style>
  <w:style w:type="character" w:customStyle="1" w:styleId="BodyTextIndent2Char">
    <w:name w:val="Body Text Indent 2 Char"/>
    <w:basedOn w:val="DefaultParagraphFont"/>
    <w:link w:val="BodyTextIndent2"/>
    <w:rsid w:val="00867517"/>
    <w:rPr>
      <w:sz w:val="24"/>
      <w:szCs w:val="24"/>
    </w:rPr>
  </w:style>
  <w:style w:type="paragraph" w:styleId="BodyTextIndent3">
    <w:name w:val="Body Text Indent 3"/>
    <w:basedOn w:val="Normal"/>
    <w:link w:val="BodyTextIndent3Char"/>
    <w:rsid w:val="00440444"/>
    <w:pPr>
      <w:spacing w:after="120"/>
      <w:ind w:left="360"/>
    </w:pPr>
    <w:rPr>
      <w:sz w:val="16"/>
      <w:szCs w:val="16"/>
    </w:rPr>
  </w:style>
  <w:style w:type="character" w:customStyle="1" w:styleId="BodyTextIndent3Char">
    <w:name w:val="Body Text Indent 3 Char"/>
    <w:basedOn w:val="DefaultParagraphFont"/>
    <w:link w:val="BodyTextIndent3"/>
    <w:rsid w:val="00440444"/>
    <w:rPr>
      <w:sz w:val="16"/>
      <w:szCs w:val="16"/>
    </w:rPr>
  </w:style>
  <w:style w:type="character" w:styleId="Strong">
    <w:name w:val="Strong"/>
    <w:basedOn w:val="DefaultParagraphFont"/>
    <w:uiPriority w:val="22"/>
    <w:qFormat/>
    <w:rsid w:val="00440444"/>
    <w:rPr>
      <w:b/>
      <w:bCs/>
    </w:rPr>
  </w:style>
  <w:style w:type="paragraph" w:styleId="ListParagraph">
    <w:name w:val="List Paragraph"/>
    <w:basedOn w:val="Normal"/>
    <w:uiPriority w:val="34"/>
    <w:qFormat/>
    <w:rsid w:val="00440444"/>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D75995"/>
    <w:pPr>
      <w:autoSpaceDE w:val="0"/>
      <w:autoSpaceDN w:val="0"/>
    </w:pPr>
    <w:rPr>
      <w:rFonts w:ascii="Arial" w:eastAsia="Calibri" w:hAnsi="Arial" w:cs="Arial"/>
      <w:color w:val="000000"/>
    </w:rPr>
  </w:style>
  <w:style w:type="character" w:styleId="CommentReference">
    <w:name w:val="annotation reference"/>
    <w:basedOn w:val="DefaultParagraphFont"/>
    <w:uiPriority w:val="99"/>
    <w:rsid w:val="0009609B"/>
    <w:rPr>
      <w:sz w:val="16"/>
      <w:szCs w:val="16"/>
    </w:rPr>
  </w:style>
  <w:style w:type="paragraph" w:styleId="CommentText">
    <w:name w:val="annotation text"/>
    <w:basedOn w:val="Normal"/>
    <w:link w:val="CommentTextChar"/>
    <w:uiPriority w:val="99"/>
    <w:rsid w:val="0009609B"/>
    <w:rPr>
      <w:sz w:val="20"/>
      <w:szCs w:val="20"/>
    </w:rPr>
  </w:style>
  <w:style w:type="character" w:customStyle="1" w:styleId="CommentTextChar">
    <w:name w:val="Comment Text Char"/>
    <w:basedOn w:val="DefaultParagraphFont"/>
    <w:link w:val="CommentText"/>
    <w:uiPriority w:val="99"/>
    <w:rsid w:val="0009609B"/>
  </w:style>
  <w:style w:type="character" w:customStyle="1" w:styleId="HeaderChar">
    <w:name w:val="Header Char"/>
    <w:basedOn w:val="DefaultParagraphFont"/>
    <w:link w:val="Header"/>
    <w:uiPriority w:val="99"/>
    <w:rsid w:val="00F7262F"/>
    <w:rPr>
      <w:sz w:val="24"/>
      <w:szCs w:val="24"/>
    </w:rPr>
  </w:style>
  <w:style w:type="character" w:customStyle="1" w:styleId="Heading1Char">
    <w:name w:val="Heading 1 Char"/>
    <w:basedOn w:val="DefaultParagraphFont"/>
    <w:link w:val="Heading1"/>
    <w:rsid w:val="00554CF6"/>
    <w:rPr>
      <w:rFonts w:ascii="Arial" w:hAnsi="Arial"/>
      <w:i/>
      <w:iCs/>
      <w:sz w:val="22"/>
      <w:szCs w:val="24"/>
    </w:rPr>
  </w:style>
  <w:style w:type="character" w:customStyle="1" w:styleId="apple-converted-space">
    <w:name w:val="apple-converted-space"/>
    <w:basedOn w:val="DefaultParagraphFont"/>
    <w:rsid w:val="00AA4C32"/>
  </w:style>
  <w:style w:type="paragraph" w:styleId="NoSpacing">
    <w:name w:val="No Spacing"/>
    <w:link w:val="NoSpacingChar"/>
    <w:uiPriority w:val="1"/>
    <w:qFormat/>
    <w:rsid w:val="00350338"/>
    <w:rPr>
      <w:rFonts w:ascii="Calibri" w:eastAsia="Calibri" w:hAnsi="Calibri"/>
      <w:sz w:val="22"/>
      <w:szCs w:val="22"/>
    </w:rPr>
  </w:style>
  <w:style w:type="character" w:customStyle="1" w:styleId="NoSpacingChar">
    <w:name w:val="No Spacing Char"/>
    <w:basedOn w:val="DefaultParagraphFont"/>
    <w:link w:val="NoSpacing"/>
    <w:uiPriority w:val="1"/>
    <w:rsid w:val="000E2F3E"/>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B62EB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62EB2"/>
    <w:rPr>
      <w:rFonts w:ascii="Consolas" w:eastAsiaTheme="minorHAnsi" w:hAnsi="Consolas" w:cstheme="minorBidi"/>
      <w:sz w:val="21"/>
      <w:szCs w:val="21"/>
    </w:rPr>
  </w:style>
  <w:style w:type="paragraph" w:styleId="CommentSubject">
    <w:name w:val="annotation subject"/>
    <w:basedOn w:val="CommentText"/>
    <w:next w:val="CommentText"/>
    <w:link w:val="CommentSubjectChar"/>
    <w:uiPriority w:val="99"/>
    <w:rsid w:val="009D14C2"/>
    <w:rPr>
      <w:b/>
      <w:bCs/>
    </w:rPr>
  </w:style>
  <w:style w:type="character" w:customStyle="1" w:styleId="CommentSubjectChar">
    <w:name w:val="Comment Subject Char"/>
    <w:basedOn w:val="CommentTextChar"/>
    <w:link w:val="CommentSubject"/>
    <w:uiPriority w:val="99"/>
    <w:rsid w:val="009D14C2"/>
    <w:rPr>
      <w:b/>
      <w:bCs/>
    </w:rPr>
  </w:style>
  <w:style w:type="character" w:customStyle="1" w:styleId="Heading2Char">
    <w:name w:val="Heading 2 Char"/>
    <w:basedOn w:val="DefaultParagraphFont"/>
    <w:link w:val="Heading2"/>
    <w:uiPriority w:val="1"/>
    <w:rsid w:val="001B6490"/>
    <w:rPr>
      <w:rFonts w:asciiTheme="majorHAnsi" w:eastAsiaTheme="majorEastAsia" w:hAnsiTheme="majorHAnsi" w:cstheme="majorBidi"/>
      <w:b/>
      <w:bCs/>
      <w:color w:val="4F81BD" w:themeColor="accent1"/>
      <w:sz w:val="26"/>
      <w:szCs w:val="26"/>
    </w:rPr>
  </w:style>
  <w:style w:type="paragraph" w:customStyle="1" w:styleId="gmail-msolistparagraph">
    <w:name w:val="gmail-msolistparagraph"/>
    <w:basedOn w:val="Normal"/>
    <w:rsid w:val="00C25764"/>
    <w:pPr>
      <w:spacing w:before="100" w:beforeAutospacing="1" w:after="100" w:afterAutospacing="1"/>
    </w:pPr>
    <w:rPr>
      <w:rFonts w:eastAsiaTheme="minorHAnsi"/>
    </w:rPr>
  </w:style>
  <w:style w:type="table" w:styleId="TableColumns1">
    <w:name w:val="Table Columns 1"/>
    <w:basedOn w:val="TableNormal"/>
    <w:rsid w:val="00FB1B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FB1B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ubtitle">
    <w:name w:val="Subtitle"/>
    <w:basedOn w:val="Normal"/>
    <w:next w:val="Normal"/>
    <w:link w:val="SubtitleChar"/>
    <w:uiPriority w:val="11"/>
    <w:qFormat/>
    <w:rsid w:val="0065203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5203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6540CF"/>
    <w:rPr>
      <w:i/>
      <w:iCs/>
    </w:rPr>
  </w:style>
  <w:style w:type="paragraph" w:customStyle="1" w:styleId="m4707752538678347918gmail-m3205249522045388537m-1855246350963652249gmail-msolistparagraph">
    <w:name w:val="m_4707752538678347918gmail-m3205249522045388537m-1855246350963652249gmail-msolistparagraph"/>
    <w:basedOn w:val="Normal"/>
    <w:rsid w:val="006540CF"/>
    <w:pPr>
      <w:spacing w:before="100" w:beforeAutospacing="1" w:after="100" w:afterAutospacing="1"/>
    </w:pPr>
  </w:style>
  <w:style w:type="paragraph" w:customStyle="1" w:styleId="m2975324773951274815gmail-msolistparagraph">
    <w:name w:val="m_2975324773951274815gmail-msolistparagraph"/>
    <w:basedOn w:val="Normal"/>
    <w:rsid w:val="006540CF"/>
    <w:pPr>
      <w:spacing w:before="100" w:beforeAutospacing="1" w:after="100" w:afterAutospacing="1"/>
    </w:pPr>
  </w:style>
  <w:style w:type="character" w:customStyle="1" w:styleId="g3">
    <w:name w:val="g3"/>
    <w:basedOn w:val="DefaultParagraphFont"/>
    <w:rsid w:val="00226BAC"/>
  </w:style>
  <w:style w:type="character" w:customStyle="1" w:styleId="hb">
    <w:name w:val="hb"/>
    <w:basedOn w:val="DefaultParagraphFont"/>
    <w:rsid w:val="00226BAC"/>
  </w:style>
  <w:style w:type="character" w:customStyle="1" w:styleId="g2">
    <w:name w:val="g2"/>
    <w:basedOn w:val="DefaultParagraphFont"/>
    <w:rsid w:val="00226BAC"/>
  </w:style>
  <w:style w:type="paragraph" w:customStyle="1" w:styleId="paragraph">
    <w:name w:val="paragraph"/>
    <w:basedOn w:val="Normal"/>
    <w:rsid w:val="00600517"/>
    <w:pPr>
      <w:spacing w:before="100" w:beforeAutospacing="1" w:after="100" w:afterAutospacing="1"/>
    </w:pPr>
  </w:style>
  <w:style w:type="character" w:customStyle="1" w:styleId="normaltextrun">
    <w:name w:val="normaltextrun"/>
    <w:basedOn w:val="DefaultParagraphFont"/>
    <w:rsid w:val="00600517"/>
  </w:style>
  <w:style w:type="character" w:customStyle="1" w:styleId="eop">
    <w:name w:val="eop"/>
    <w:basedOn w:val="DefaultParagraphFont"/>
    <w:rsid w:val="00600517"/>
  </w:style>
  <w:style w:type="character" w:customStyle="1" w:styleId="scxw130645458">
    <w:name w:val="scxw130645458"/>
    <w:basedOn w:val="DefaultParagraphFont"/>
    <w:rsid w:val="00600517"/>
  </w:style>
  <w:style w:type="character" w:customStyle="1" w:styleId="scxw45225346">
    <w:name w:val="scxw45225346"/>
    <w:basedOn w:val="DefaultParagraphFont"/>
    <w:rsid w:val="00600517"/>
  </w:style>
  <w:style w:type="character" w:customStyle="1" w:styleId="scxw183800865">
    <w:name w:val="scxw183800865"/>
    <w:basedOn w:val="DefaultParagraphFont"/>
    <w:rsid w:val="00600517"/>
  </w:style>
  <w:style w:type="character" w:customStyle="1" w:styleId="spellingerror">
    <w:name w:val="spellingerror"/>
    <w:basedOn w:val="DefaultParagraphFont"/>
    <w:rsid w:val="00600517"/>
  </w:style>
  <w:style w:type="table" w:customStyle="1" w:styleId="TableGrid1">
    <w:name w:val="Table Grid1"/>
    <w:basedOn w:val="TableNormal"/>
    <w:next w:val="TableGrid"/>
    <w:uiPriority w:val="39"/>
    <w:rsid w:val="0091641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91641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916414"/>
    <w:rPr>
      <w:rFonts w:cstheme="minorBidi"/>
      <w:b/>
      <w:bCs/>
      <w:i/>
      <w:sz w:val="24"/>
      <w:szCs w:val="24"/>
    </w:rPr>
  </w:style>
  <w:style w:type="character" w:customStyle="1" w:styleId="BodyTextIndentChar">
    <w:name w:val="Body Text Indent Char"/>
    <w:basedOn w:val="DefaultParagraphFont"/>
    <w:link w:val="BodyTextIndent"/>
    <w:rsid w:val="00916414"/>
    <w:rPr>
      <w:sz w:val="24"/>
      <w:szCs w:val="24"/>
    </w:rPr>
  </w:style>
  <w:style w:type="character" w:customStyle="1" w:styleId="BodyTextChar">
    <w:name w:val="Body Text Char"/>
    <w:basedOn w:val="DefaultParagraphFont"/>
    <w:link w:val="BodyText"/>
    <w:uiPriority w:val="1"/>
    <w:rsid w:val="00916414"/>
    <w:rPr>
      <w:sz w:val="24"/>
      <w:szCs w:val="24"/>
    </w:rPr>
  </w:style>
  <w:style w:type="character" w:customStyle="1" w:styleId="BodyText2Char">
    <w:name w:val="Body Text 2 Char"/>
    <w:basedOn w:val="DefaultParagraphFont"/>
    <w:link w:val="BodyText2"/>
    <w:rsid w:val="00916414"/>
    <w:rPr>
      <w:sz w:val="24"/>
      <w:szCs w:val="24"/>
    </w:rPr>
  </w:style>
  <w:style w:type="paragraph" w:styleId="TOCHeading">
    <w:name w:val="TOC Heading"/>
    <w:basedOn w:val="Heading1"/>
    <w:next w:val="Normal"/>
    <w:uiPriority w:val="39"/>
    <w:semiHidden/>
    <w:unhideWhenUsed/>
    <w:qFormat/>
    <w:rsid w:val="00916414"/>
    <w:pPr>
      <w:keepLines/>
      <w:spacing w:before="480" w:line="276" w:lineRule="auto"/>
      <w:outlineLvl w:val="9"/>
    </w:pPr>
    <w:rPr>
      <w:rFonts w:asciiTheme="majorHAnsi" w:eastAsiaTheme="majorEastAsia" w:hAnsiTheme="majorHAnsi" w:cstheme="majorBidi"/>
      <w:b/>
      <w:bCs/>
      <w:i w:val="0"/>
      <w:iCs w:val="0"/>
      <w:color w:val="365F91" w:themeColor="accent1" w:themeShade="BF"/>
      <w:sz w:val="28"/>
      <w:szCs w:val="28"/>
    </w:rPr>
  </w:style>
  <w:style w:type="paragraph" w:styleId="TOC2">
    <w:name w:val="toc 2"/>
    <w:basedOn w:val="Normal"/>
    <w:next w:val="Normal"/>
    <w:autoRedefine/>
    <w:uiPriority w:val="39"/>
    <w:unhideWhenUsed/>
    <w:qFormat/>
    <w:rsid w:val="00916414"/>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916414"/>
    <w:pPr>
      <w:numPr>
        <w:numId w:val="7"/>
      </w:num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916414"/>
    <w:pPr>
      <w:spacing w:after="100" w:line="276" w:lineRule="auto"/>
      <w:ind w:left="440"/>
    </w:pPr>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916414"/>
    <w:pPr>
      <w:widowControl w:val="0"/>
    </w:pPr>
    <w:rPr>
      <w:rFonts w:asciiTheme="minorHAnsi" w:eastAsiaTheme="minorHAnsi" w:hAnsiTheme="minorHAnsi" w:cstheme="minorBidi"/>
      <w:sz w:val="22"/>
      <w:szCs w:val="22"/>
    </w:rPr>
  </w:style>
  <w:style w:type="character" w:customStyle="1" w:styleId="st1">
    <w:name w:val="st1"/>
    <w:basedOn w:val="DefaultParagraphFont"/>
    <w:rsid w:val="00916414"/>
  </w:style>
  <w:style w:type="character" w:customStyle="1" w:styleId="tgc">
    <w:name w:val="_tgc"/>
    <w:basedOn w:val="DefaultParagraphFont"/>
    <w:rsid w:val="00916414"/>
  </w:style>
  <w:style w:type="paragraph" w:customStyle="1" w:styleId="m6651203783401910668m5843595626862131691m-4562347084760864174m-4704233335549410160gmail-msobodytext">
    <w:name w:val="m_6651203783401910668m_5843595626862131691m_-4562347084760864174m_-4704233335549410160gmail-msobodytext"/>
    <w:basedOn w:val="Normal"/>
    <w:rsid w:val="00916414"/>
    <w:pPr>
      <w:spacing w:before="100" w:beforeAutospacing="1" w:after="100" w:afterAutospacing="1"/>
    </w:pPr>
  </w:style>
  <w:style w:type="paragraph" w:customStyle="1" w:styleId="m-4821582593698063012m3470124025920536253m5196218107202949746gmail-m7898194586710618595gmail-m6651203783401910668m5843595626862131691m-4562347084760864174m-4704233335549410160gmail-msobodytext">
    <w:name w:val="m_-4821582593698063012m_3470124025920536253m_5196218107202949746gmail-m_7898194586710618595gmail-m6651203783401910668m5843595626862131691m-4562347084760864174m-4704233335549410160gmail-msobodytext"/>
    <w:basedOn w:val="Normal"/>
    <w:rsid w:val="00916414"/>
    <w:pPr>
      <w:spacing w:before="100" w:beforeAutospacing="1" w:after="100" w:afterAutospacing="1"/>
    </w:pPr>
  </w:style>
  <w:style w:type="character" w:customStyle="1" w:styleId="Style2">
    <w:name w:val="Style2"/>
    <w:basedOn w:val="DefaultParagraphFont"/>
    <w:uiPriority w:val="1"/>
    <w:rsid w:val="00916414"/>
    <w:rPr>
      <w:rFonts w:asciiTheme="minorHAnsi" w:hAnsiTheme="minorHAnsi"/>
      <w:b w:val="0"/>
      <w:sz w:val="19"/>
    </w:rPr>
  </w:style>
  <w:style w:type="character" w:customStyle="1" w:styleId="Style3">
    <w:name w:val="Style3"/>
    <w:basedOn w:val="DefaultParagraphFont"/>
    <w:uiPriority w:val="1"/>
    <w:rsid w:val="00916414"/>
    <w:rPr>
      <w:rFonts w:asciiTheme="minorHAnsi" w:hAnsiTheme="minorHAnsi"/>
      <w:sz w:val="19"/>
    </w:rPr>
  </w:style>
  <w:style w:type="paragraph" w:customStyle="1" w:styleId="m-615947763241264578gmail-m-6009296579747647454gmail-msolistparagraph">
    <w:name w:val="m_-615947763241264578gmail-m_-6009296579747647454gmail-msolistparagraph"/>
    <w:basedOn w:val="Normal"/>
    <w:rsid w:val="00916414"/>
    <w:pPr>
      <w:spacing w:before="100" w:beforeAutospacing="1" w:after="100" w:afterAutospacing="1"/>
    </w:pPr>
  </w:style>
  <w:style w:type="paragraph" w:customStyle="1" w:styleId="m4566488894987100178gmail-m2411891092411519838gmail-m-615947763241264578gmail-m-6009296579747647454gmail-msolistparagraph">
    <w:name w:val="m_4566488894987100178gmail-m_2411891092411519838gmail-m-615947763241264578gmail-m-6009296579747647454gmail-msolistparagraph"/>
    <w:basedOn w:val="Normal"/>
    <w:rsid w:val="00916414"/>
    <w:pPr>
      <w:spacing w:before="100" w:beforeAutospacing="1" w:after="100" w:afterAutospacing="1"/>
    </w:pPr>
  </w:style>
  <w:style w:type="paragraph" w:customStyle="1" w:styleId="m4566488894987100178gmail-m3653197667119000401m-3941265415012338503m5757700801666892428m5125885344708395193m-8383105416201329238m-434287157120068101gmail-m7206225897266038353m1479162055796081401gmail-m-615947763241264578gmail-m-6009296579747647">
    <w:name w:val="m_4566488894987100178gmail-m_3653197667119000401m_-3941265415012338503m_5757700801666892428m_5125885344708395193m_-8383105416201329238m_-434287157120068101gmail-m_7206225897266038353m_1479162055796081401gmail-m-615947763241264578gmail-m-6009296579747647"/>
    <w:basedOn w:val="Normal"/>
    <w:rsid w:val="00916414"/>
    <w:pPr>
      <w:spacing w:before="100" w:beforeAutospacing="1" w:after="100" w:afterAutospacing="1"/>
    </w:pPr>
  </w:style>
  <w:style w:type="paragraph" w:customStyle="1" w:styleId="m4566488894987100178gmail-m3653197667119000401m-3941265415012338503m5757700801666892428m5125885344708395193gmail-m7206225897266038353m1479162055796081401gmail-m-615947763241264578gmail-m-6009296579747647454gmail-msolistparagraph">
    <w:name w:val="m_4566488894987100178gmail-m_3653197667119000401m_-3941265415012338503m_5757700801666892428m_5125885344708395193gmail-m_7206225897266038353m_1479162055796081401gmail-m-615947763241264578gmail-m-6009296579747647454gmail-msolistparagraph"/>
    <w:basedOn w:val="Normal"/>
    <w:rsid w:val="00916414"/>
    <w:pPr>
      <w:spacing w:before="100" w:beforeAutospacing="1" w:after="100" w:afterAutospacing="1"/>
    </w:pPr>
  </w:style>
  <w:style w:type="table" w:styleId="ListTable3-Accent1">
    <w:name w:val="List Table 3 Accent 1"/>
    <w:basedOn w:val="TableNormal"/>
    <w:uiPriority w:val="48"/>
    <w:rsid w:val="0091641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3-Accent1">
    <w:name w:val="Grid Table 3 Accent 1"/>
    <w:basedOn w:val="TableNormal"/>
    <w:uiPriority w:val="48"/>
    <w:rsid w:val="00DA4C43"/>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il">
    <w:name w:val="il"/>
    <w:basedOn w:val="DefaultParagraphFont"/>
    <w:rsid w:val="0009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368">
      <w:bodyDiv w:val="1"/>
      <w:marLeft w:val="0"/>
      <w:marRight w:val="0"/>
      <w:marTop w:val="0"/>
      <w:marBottom w:val="0"/>
      <w:divBdr>
        <w:top w:val="none" w:sz="0" w:space="0" w:color="auto"/>
        <w:left w:val="none" w:sz="0" w:space="0" w:color="auto"/>
        <w:bottom w:val="none" w:sz="0" w:space="0" w:color="auto"/>
        <w:right w:val="none" w:sz="0" w:space="0" w:color="auto"/>
      </w:divBdr>
    </w:div>
    <w:div w:id="32536400">
      <w:bodyDiv w:val="1"/>
      <w:marLeft w:val="0"/>
      <w:marRight w:val="0"/>
      <w:marTop w:val="0"/>
      <w:marBottom w:val="0"/>
      <w:divBdr>
        <w:top w:val="none" w:sz="0" w:space="0" w:color="auto"/>
        <w:left w:val="none" w:sz="0" w:space="0" w:color="auto"/>
        <w:bottom w:val="none" w:sz="0" w:space="0" w:color="auto"/>
        <w:right w:val="none" w:sz="0" w:space="0" w:color="auto"/>
      </w:divBdr>
    </w:div>
    <w:div w:id="35549681">
      <w:bodyDiv w:val="1"/>
      <w:marLeft w:val="0"/>
      <w:marRight w:val="0"/>
      <w:marTop w:val="0"/>
      <w:marBottom w:val="0"/>
      <w:divBdr>
        <w:top w:val="none" w:sz="0" w:space="0" w:color="auto"/>
        <w:left w:val="none" w:sz="0" w:space="0" w:color="auto"/>
        <w:bottom w:val="none" w:sz="0" w:space="0" w:color="auto"/>
        <w:right w:val="none" w:sz="0" w:space="0" w:color="auto"/>
      </w:divBdr>
    </w:div>
    <w:div w:id="62026579">
      <w:bodyDiv w:val="1"/>
      <w:marLeft w:val="0"/>
      <w:marRight w:val="0"/>
      <w:marTop w:val="0"/>
      <w:marBottom w:val="0"/>
      <w:divBdr>
        <w:top w:val="none" w:sz="0" w:space="0" w:color="auto"/>
        <w:left w:val="none" w:sz="0" w:space="0" w:color="auto"/>
        <w:bottom w:val="none" w:sz="0" w:space="0" w:color="auto"/>
        <w:right w:val="none" w:sz="0" w:space="0" w:color="auto"/>
      </w:divBdr>
    </w:div>
    <w:div w:id="114494758">
      <w:bodyDiv w:val="1"/>
      <w:marLeft w:val="0"/>
      <w:marRight w:val="0"/>
      <w:marTop w:val="0"/>
      <w:marBottom w:val="0"/>
      <w:divBdr>
        <w:top w:val="none" w:sz="0" w:space="0" w:color="auto"/>
        <w:left w:val="none" w:sz="0" w:space="0" w:color="auto"/>
        <w:bottom w:val="none" w:sz="0" w:space="0" w:color="auto"/>
        <w:right w:val="none" w:sz="0" w:space="0" w:color="auto"/>
      </w:divBdr>
    </w:div>
    <w:div w:id="152919654">
      <w:bodyDiv w:val="1"/>
      <w:marLeft w:val="0"/>
      <w:marRight w:val="0"/>
      <w:marTop w:val="0"/>
      <w:marBottom w:val="0"/>
      <w:divBdr>
        <w:top w:val="none" w:sz="0" w:space="0" w:color="auto"/>
        <w:left w:val="none" w:sz="0" w:space="0" w:color="auto"/>
        <w:bottom w:val="none" w:sz="0" w:space="0" w:color="auto"/>
        <w:right w:val="none" w:sz="0" w:space="0" w:color="auto"/>
      </w:divBdr>
    </w:div>
    <w:div w:id="182523525">
      <w:bodyDiv w:val="1"/>
      <w:marLeft w:val="0"/>
      <w:marRight w:val="0"/>
      <w:marTop w:val="0"/>
      <w:marBottom w:val="0"/>
      <w:divBdr>
        <w:top w:val="none" w:sz="0" w:space="0" w:color="auto"/>
        <w:left w:val="none" w:sz="0" w:space="0" w:color="auto"/>
        <w:bottom w:val="none" w:sz="0" w:space="0" w:color="auto"/>
        <w:right w:val="none" w:sz="0" w:space="0" w:color="auto"/>
      </w:divBdr>
    </w:div>
    <w:div w:id="222638778">
      <w:bodyDiv w:val="1"/>
      <w:marLeft w:val="0"/>
      <w:marRight w:val="0"/>
      <w:marTop w:val="0"/>
      <w:marBottom w:val="0"/>
      <w:divBdr>
        <w:top w:val="none" w:sz="0" w:space="0" w:color="auto"/>
        <w:left w:val="none" w:sz="0" w:space="0" w:color="auto"/>
        <w:bottom w:val="none" w:sz="0" w:space="0" w:color="auto"/>
        <w:right w:val="none" w:sz="0" w:space="0" w:color="auto"/>
      </w:divBdr>
    </w:div>
    <w:div w:id="226843732">
      <w:bodyDiv w:val="1"/>
      <w:marLeft w:val="0"/>
      <w:marRight w:val="0"/>
      <w:marTop w:val="0"/>
      <w:marBottom w:val="0"/>
      <w:divBdr>
        <w:top w:val="none" w:sz="0" w:space="0" w:color="auto"/>
        <w:left w:val="none" w:sz="0" w:space="0" w:color="auto"/>
        <w:bottom w:val="none" w:sz="0" w:space="0" w:color="auto"/>
        <w:right w:val="none" w:sz="0" w:space="0" w:color="auto"/>
      </w:divBdr>
    </w:div>
    <w:div w:id="266933101">
      <w:bodyDiv w:val="1"/>
      <w:marLeft w:val="0"/>
      <w:marRight w:val="0"/>
      <w:marTop w:val="0"/>
      <w:marBottom w:val="0"/>
      <w:divBdr>
        <w:top w:val="none" w:sz="0" w:space="0" w:color="auto"/>
        <w:left w:val="none" w:sz="0" w:space="0" w:color="auto"/>
        <w:bottom w:val="none" w:sz="0" w:space="0" w:color="auto"/>
        <w:right w:val="none" w:sz="0" w:space="0" w:color="auto"/>
      </w:divBdr>
    </w:div>
    <w:div w:id="281813628">
      <w:bodyDiv w:val="1"/>
      <w:marLeft w:val="0"/>
      <w:marRight w:val="0"/>
      <w:marTop w:val="0"/>
      <w:marBottom w:val="0"/>
      <w:divBdr>
        <w:top w:val="none" w:sz="0" w:space="0" w:color="auto"/>
        <w:left w:val="none" w:sz="0" w:space="0" w:color="auto"/>
        <w:bottom w:val="none" w:sz="0" w:space="0" w:color="auto"/>
        <w:right w:val="none" w:sz="0" w:space="0" w:color="auto"/>
      </w:divBdr>
    </w:div>
    <w:div w:id="291132801">
      <w:bodyDiv w:val="1"/>
      <w:marLeft w:val="0"/>
      <w:marRight w:val="0"/>
      <w:marTop w:val="0"/>
      <w:marBottom w:val="0"/>
      <w:divBdr>
        <w:top w:val="none" w:sz="0" w:space="0" w:color="auto"/>
        <w:left w:val="none" w:sz="0" w:space="0" w:color="auto"/>
        <w:bottom w:val="none" w:sz="0" w:space="0" w:color="auto"/>
        <w:right w:val="none" w:sz="0" w:space="0" w:color="auto"/>
      </w:divBdr>
      <w:divsChild>
        <w:div w:id="779031610">
          <w:marLeft w:val="3210"/>
          <w:marRight w:val="150"/>
          <w:marTop w:val="0"/>
          <w:marBottom w:val="0"/>
          <w:divBdr>
            <w:top w:val="none" w:sz="0" w:space="0" w:color="auto"/>
            <w:left w:val="none" w:sz="0" w:space="0" w:color="auto"/>
            <w:bottom w:val="none" w:sz="0" w:space="0" w:color="auto"/>
            <w:right w:val="none" w:sz="0" w:space="0" w:color="auto"/>
          </w:divBdr>
        </w:div>
      </w:divsChild>
    </w:div>
    <w:div w:id="335041129">
      <w:bodyDiv w:val="1"/>
      <w:marLeft w:val="0"/>
      <w:marRight w:val="0"/>
      <w:marTop w:val="0"/>
      <w:marBottom w:val="0"/>
      <w:divBdr>
        <w:top w:val="none" w:sz="0" w:space="0" w:color="auto"/>
        <w:left w:val="none" w:sz="0" w:space="0" w:color="auto"/>
        <w:bottom w:val="none" w:sz="0" w:space="0" w:color="auto"/>
        <w:right w:val="none" w:sz="0" w:space="0" w:color="auto"/>
      </w:divBdr>
    </w:div>
    <w:div w:id="349380341">
      <w:bodyDiv w:val="1"/>
      <w:marLeft w:val="0"/>
      <w:marRight w:val="0"/>
      <w:marTop w:val="0"/>
      <w:marBottom w:val="0"/>
      <w:divBdr>
        <w:top w:val="none" w:sz="0" w:space="0" w:color="auto"/>
        <w:left w:val="none" w:sz="0" w:space="0" w:color="auto"/>
        <w:bottom w:val="none" w:sz="0" w:space="0" w:color="auto"/>
        <w:right w:val="none" w:sz="0" w:space="0" w:color="auto"/>
      </w:divBdr>
    </w:div>
    <w:div w:id="375542239">
      <w:bodyDiv w:val="1"/>
      <w:marLeft w:val="0"/>
      <w:marRight w:val="0"/>
      <w:marTop w:val="0"/>
      <w:marBottom w:val="0"/>
      <w:divBdr>
        <w:top w:val="none" w:sz="0" w:space="0" w:color="auto"/>
        <w:left w:val="none" w:sz="0" w:space="0" w:color="auto"/>
        <w:bottom w:val="none" w:sz="0" w:space="0" w:color="auto"/>
        <w:right w:val="none" w:sz="0" w:space="0" w:color="auto"/>
      </w:divBdr>
    </w:div>
    <w:div w:id="447087284">
      <w:bodyDiv w:val="1"/>
      <w:marLeft w:val="0"/>
      <w:marRight w:val="0"/>
      <w:marTop w:val="0"/>
      <w:marBottom w:val="0"/>
      <w:divBdr>
        <w:top w:val="none" w:sz="0" w:space="0" w:color="auto"/>
        <w:left w:val="none" w:sz="0" w:space="0" w:color="auto"/>
        <w:bottom w:val="none" w:sz="0" w:space="0" w:color="auto"/>
        <w:right w:val="none" w:sz="0" w:space="0" w:color="auto"/>
      </w:divBdr>
    </w:div>
    <w:div w:id="522592140">
      <w:bodyDiv w:val="1"/>
      <w:marLeft w:val="0"/>
      <w:marRight w:val="0"/>
      <w:marTop w:val="0"/>
      <w:marBottom w:val="0"/>
      <w:divBdr>
        <w:top w:val="none" w:sz="0" w:space="0" w:color="auto"/>
        <w:left w:val="none" w:sz="0" w:space="0" w:color="auto"/>
        <w:bottom w:val="none" w:sz="0" w:space="0" w:color="auto"/>
        <w:right w:val="none" w:sz="0" w:space="0" w:color="auto"/>
      </w:divBdr>
    </w:div>
    <w:div w:id="525875840">
      <w:bodyDiv w:val="1"/>
      <w:marLeft w:val="0"/>
      <w:marRight w:val="0"/>
      <w:marTop w:val="0"/>
      <w:marBottom w:val="0"/>
      <w:divBdr>
        <w:top w:val="none" w:sz="0" w:space="0" w:color="auto"/>
        <w:left w:val="none" w:sz="0" w:space="0" w:color="auto"/>
        <w:bottom w:val="none" w:sz="0" w:space="0" w:color="auto"/>
        <w:right w:val="none" w:sz="0" w:space="0" w:color="auto"/>
      </w:divBdr>
    </w:div>
    <w:div w:id="533620922">
      <w:bodyDiv w:val="1"/>
      <w:marLeft w:val="0"/>
      <w:marRight w:val="0"/>
      <w:marTop w:val="0"/>
      <w:marBottom w:val="0"/>
      <w:divBdr>
        <w:top w:val="none" w:sz="0" w:space="0" w:color="auto"/>
        <w:left w:val="none" w:sz="0" w:space="0" w:color="auto"/>
        <w:bottom w:val="none" w:sz="0" w:space="0" w:color="auto"/>
        <w:right w:val="none" w:sz="0" w:space="0" w:color="auto"/>
      </w:divBdr>
    </w:div>
    <w:div w:id="567498801">
      <w:bodyDiv w:val="1"/>
      <w:marLeft w:val="0"/>
      <w:marRight w:val="0"/>
      <w:marTop w:val="0"/>
      <w:marBottom w:val="0"/>
      <w:divBdr>
        <w:top w:val="none" w:sz="0" w:space="0" w:color="auto"/>
        <w:left w:val="none" w:sz="0" w:space="0" w:color="auto"/>
        <w:bottom w:val="none" w:sz="0" w:space="0" w:color="auto"/>
        <w:right w:val="none" w:sz="0" w:space="0" w:color="auto"/>
      </w:divBdr>
    </w:div>
    <w:div w:id="586616750">
      <w:bodyDiv w:val="1"/>
      <w:marLeft w:val="0"/>
      <w:marRight w:val="0"/>
      <w:marTop w:val="0"/>
      <w:marBottom w:val="0"/>
      <w:divBdr>
        <w:top w:val="none" w:sz="0" w:space="0" w:color="auto"/>
        <w:left w:val="none" w:sz="0" w:space="0" w:color="auto"/>
        <w:bottom w:val="none" w:sz="0" w:space="0" w:color="auto"/>
        <w:right w:val="none" w:sz="0" w:space="0" w:color="auto"/>
      </w:divBdr>
    </w:div>
    <w:div w:id="638800731">
      <w:bodyDiv w:val="1"/>
      <w:marLeft w:val="0"/>
      <w:marRight w:val="0"/>
      <w:marTop w:val="0"/>
      <w:marBottom w:val="0"/>
      <w:divBdr>
        <w:top w:val="none" w:sz="0" w:space="0" w:color="auto"/>
        <w:left w:val="none" w:sz="0" w:space="0" w:color="auto"/>
        <w:bottom w:val="none" w:sz="0" w:space="0" w:color="auto"/>
        <w:right w:val="none" w:sz="0" w:space="0" w:color="auto"/>
      </w:divBdr>
    </w:div>
    <w:div w:id="653801391">
      <w:bodyDiv w:val="1"/>
      <w:marLeft w:val="0"/>
      <w:marRight w:val="0"/>
      <w:marTop w:val="0"/>
      <w:marBottom w:val="0"/>
      <w:divBdr>
        <w:top w:val="none" w:sz="0" w:space="0" w:color="auto"/>
        <w:left w:val="none" w:sz="0" w:space="0" w:color="auto"/>
        <w:bottom w:val="none" w:sz="0" w:space="0" w:color="auto"/>
        <w:right w:val="none" w:sz="0" w:space="0" w:color="auto"/>
      </w:divBdr>
    </w:div>
    <w:div w:id="672104140">
      <w:bodyDiv w:val="1"/>
      <w:marLeft w:val="0"/>
      <w:marRight w:val="0"/>
      <w:marTop w:val="0"/>
      <w:marBottom w:val="0"/>
      <w:divBdr>
        <w:top w:val="none" w:sz="0" w:space="0" w:color="auto"/>
        <w:left w:val="none" w:sz="0" w:space="0" w:color="auto"/>
        <w:bottom w:val="none" w:sz="0" w:space="0" w:color="auto"/>
        <w:right w:val="none" w:sz="0" w:space="0" w:color="auto"/>
      </w:divBdr>
    </w:div>
    <w:div w:id="698048223">
      <w:bodyDiv w:val="1"/>
      <w:marLeft w:val="0"/>
      <w:marRight w:val="0"/>
      <w:marTop w:val="0"/>
      <w:marBottom w:val="0"/>
      <w:divBdr>
        <w:top w:val="none" w:sz="0" w:space="0" w:color="auto"/>
        <w:left w:val="none" w:sz="0" w:space="0" w:color="auto"/>
        <w:bottom w:val="none" w:sz="0" w:space="0" w:color="auto"/>
        <w:right w:val="none" w:sz="0" w:space="0" w:color="auto"/>
      </w:divBdr>
    </w:div>
    <w:div w:id="733044339">
      <w:bodyDiv w:val="1"/>
      <w:marLeft w:val="0"/>
      <w:marRight w:val="0"/>
      <w:marTop w:val="0"/>
      <w:marBottom w:val="0"/>
      <w:divBdr>
        <w:top w:val="none" w:sz="0" w:space="0" w:color="auto"/>
        <w:left w:val="none" w:sz="0" w:space="0" w:color="auto"/>
        <w:bottom w:val="none" w:sz="0" w:space="0" w:color="auto"/>
        <w:right w:val="none" w:sz="0" w:space="0" w:color="auto"/>
      </w:divBdr>
    </w:div>
    <w:div w:id="734355031">
      <w:bodyDiv w:val="1"/>
      <w:marLeft w:val="0"/>
      <w:marRight w:val="0"/>
      <w:marTop w:val="0"/>
      <w:marBottom w:val="0"/>
      <w:divBdr>
        <w:top w:val="none" w:sz="0" w:space="0" w:color="auto"/>
        <w:left w:val="none" w:sz="0" w:space="0" w:color="auto"/>
        <w:bottom w:val="none" w:sz="0" w:space="0" w:color="auto"/>
        <w:right w:val="none" w:sz="0" w:space="0" w:color="auto"/>
      </w:divBdr>
    </w:div>
    <w:div w:id="783302675">
      <w:bodyDiv w:val="1"/>
      <w:marLeft w:val="0"/>
      <w:marRight w:val="0"/>
      <w:marTop w:val="0"/>
      <w:marBottom w:val="0"/>
      <w:divBdr>
        <w:top w:val="none" w:sz="0" w:space="0" w:color="auto"/>
        <w:left w:val="none" w:sz="0" w:space="0" w:color="auto"/>
        <w:bottom w:val="none" w:sz="0" w:space="0" w:color="auto"/>
        <w:right w:val="none" w:sz="0" w:space="0" w:color="auto"/>
      </w:divBdr>
    </w:div>
    <w:div w:id="806093866">
      <w:bodyDiv w:val="1"/>
      <w:marLeft w:val="0"/>
      <w:marRight w:val="0"/>
      <w:marTop w:val="0"/>
      <w:marBottom w:val="0"/>
      <w:divBdr>
        <w:top w:val="none" w:sz="0" w:space="0" w:color="auto"/>
        <w:left w:val="none" w:sz="0" w:space="0" w:color="auto"/>
        <w:bottom w:val="none" w:sz="0" w:space="0" w:color="auto"/>
        <w:right w:val="none" w:sz="0" w:space="0" w:color="auto"/>
      </w:divBdr>
    </w:div>
    <w:div w:id="846554751">
      <w:bodyDiv w:val="1"/>
      <w:marLeft w:val="0"/>
      <w:marRight w:val="0"/>
      <w:marTop w:val="0"/>
      <w:marBottom w:val="0"/>
      <w:divBdr>
        <w:top w:val="none" w:sz="0" w:space="0" w:color="auto"/>
        <w:left w:val="none" w:sz="0" w:space="0" w:color="auto"/>
        <w:bottom w:val="none" w:sz="0" w:space="0" w:color="auto"/>
        <w:right w:val="none" w:sz="0" w:space="0" w:color="auto"/>
      </w:divBdr>
    </w:div>
    <w:div w:id="895748631">
      <w:bodyDiv w:val="1"/>
      <w:marLeft w:val="0"/>
      <w:marRight w:val="0"/>
      <w:marTop w:val="0"/>
      <w:marBottom w:val="0"/>
      <w:divBdr>
        <w:top w:val="none" w:sz="0" w:space="0" w:color="auto"/>
        <w:left w:val="none" w:sz="0" w:space="0" w:color="auto"/>
        <w:bottom w:val="none" w:sz="0" w:space="0" w:color="auto"/>
        <w:right w:val="none" w:sz="0" w:space="0" w:color="auto"/>
      </w:divBdr>
      <w:divsChild>
        <w:div w:id="328826325">
          <w:marLeft w:val="0"/>
          <w:marRight w:val="0"/>
          <w:marTop w:val="0"/>
          <w:marBottom w:val="0"/>
          <w:divBdr>
            <w:top w:val="none" w:sz="0" w:space="0" w:color="auto"/>
            <w:left w:val="none" w:sz="0" w:space="0" w:color="auto"/>
            <w:bottom w:val="none" w:sz="0" w:space="0" w:color="auto"/>
            <w:right w:val="none" w:sz="0" w:space="0" w:color="auto"/>
          </w:divBdr>
          <w:divsChild>
            <w:div w:id="611014992">
              <w:marLeft w:val="0"/>
              <w:marRight w:val="0"/>
              <w:marTop w:val="0"/>
              <w:marBottom w:val="0"/>
              <w:divBdr>
                <w:top w:val="none" w:sz="0" w:space="0" w:color="auto"/>
                <w:left w:val="none" w:sz="0" w:space="0" w:color="auto"/>
                <w:bottom w:val="none" w:sz="0" w:space="0" w:color="auto"/>
                <w:right w:val="none" w:sz="0" w:space="0" w:color="auto"/>
              </w:divBdr>
            </w:div>
            <w:div w:id="1663461974">
              <w:marLeft w:val="300"/>
              <w:marRight w:val="0"/>
              <w:marTop w:val="0"/>
              <w:marBottom w:val="0"/>
              <w:divBdr>
                <w:top w:val="none" w:sz="0" w:space="0" w:color="auto"/>
                <w:left w:val="none" w:sz="0" w:space="0" w:color="auto"/>
                <w:bottom w:val="none" w:sz="0" w:space="0" w:color="auto"/>
                <w:right w:val="none" w:sz="0" w:space="0" w:color="auto"/>
              </w:divBdr>
            </w:div>
            <w:div w:id="179053761">
              <w:marLeft w:val="300"/>
              <w:marRight w:val="0"/>
              <w:marTop w:val="0"/>
              <w:marBottom w:val="0"/>
              <w:divBdr>
                <w:top w:val="none" w:sz="0" w:space="0" w:color="auto"/>
                <w:left w:val="none" w:sz="0" w:space="0" w:color="auto"/>
                <w:bottom w:val="none" w:sz="0" w:space="0" w:color="auto"/>
                <w:right w:val="none" w:sz="0" w:space="0" w:color="auto"/>
              </w:divBdr>
            </w:div>
            <w:div w:id="631904767">
              <w:marLeft w:val="0"/>
              <w:marRight w:val="0"/>
              <w:marTop w:val="0"/>
              <w:marBottom w:val="0"/>
              <w:divBdr>
                <w:top w:val="none" w:sz="0" w:space="0" w:color="auto"/>
                <w:left w:val="none" w:sz="0" w:space="0" w:color="auto"/>
                <w:bottom w:val="none" w:sz="0" w:space="0" w:color="auto"/>
                <w:right w:val="none" w:sz="0" w:space="0" w:color="auto"/>
              </w:divBdr>
            </w:div>
            <w:div w:id="178981514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96937951">
      <w:bodyDiv w:val="1"/>
      <w:marLeft w:val="0"/>
      <w:marRight w:val="0"/>
      <w:marTop w:val="0"/>
      <w:marBottom w:val="0"/>
      <w:divBdr>
        <w:top w:val="none" w:sz="0" w:space="0" w:color="auto"/>
        <w:left w:val="none" w:sz="0" w:space="0" w:color="auto"/>
        <w:bottom w:val="none" w:sz="0" w:space="0" w:color="auto"/>
        <w:right w:val="none" w:sz="0" w:space="0" w:color="auto"/>
      </w:divBdr>
    </w:div>
    <w:div w:id="945816616">
      <w:bodyDiv w:val="1"/>
      <w:marLeft w:val="0"/>
      <w:marRight w:val="0"/>
      <w:marTop w:val="0"/>
      <w:marBottom w:val="0"/>
      <w:divBdr>
        <w:top w:val="none" w:sz="0" w:space="0" w:color="auto"/>
        <w:left w:val="none" w:sz="0" w:space="0" w:color="auto"/>
        <w:bottom w:val="none" w:sz="0" w:space="0" w:color="auto"/>
        <w:right w:val="none" w:sz="0" w:space="0" w:color="auto"/>
      </w:divBdr>
      <w:divsChild>
        <w:div w:id="1545601301">
          <w:marLeft w:val="403"/>
          <w:marRight w:val="0"/>
          <w:marTop w:val="0"/>
          <w:marBottom w:val="0"/>
          <w:divBdr>
            <w:top w:val="none" w:sz="0" w:space="0" w:color="auto"/>
            <w:left w:val="none" w:sz="0" w:space="0" w:color="auto"/>
            <w:bottom w:val="none" w:sz="0" w:space="0" w:color="auto"/>
            <w:right w:val="none" w:sz="0" w:space="0" w:color="auto"/>
          </w:divBdr>
        </w:div>
        <w:div w:id="734400526">
          <w:marLeft w:val="403"/>
          <w:marRight w:val="0"/>
          <w:marTop w:val="0"/>
          <w:marBottom w:val="0"/>
          <w:divBdr>
            <w:top w:val="none" w:sz="0" w:space="0" w:color="auto"/>
            <w:left w:val="none" w:sz="0" w:space="0" w:color="auto"/>
            <w:bottom w:val="none" w:sz="0" w:space="0" w:color="auto"/>
            <w:right w:val="none" w:sz="0" w:space="0" w:color="auto"/>
          </w:divBdr>
        </w:div>
        <w:div w:id="1864316359">
          <w:marLeft w:val="403"/>
          <w:marRight w:val="0"/>
          <w:marTop w:val="0"/>
          <w:marBottom w:val="0"/>
          <w:divBdr>
            <w:top w:val="none" w:sz="0" w:space="0" w:color="auto"/>
            <w:left w:val="none" w:sz="0" w:space="0" w:color="auto"/>
            <w:bottom w:val="none" w:sz="0" w:space="0" w:color="auto"/>
            <w:right w:val="none" w:sz="0" w:space="0" w:color="auto"/>
          </w:divBdr>
        </w:div>
      </w:divsChild>
    </w:div>
    <w:div w:id="968318445">
      <w:bodyDiv w:val="1"/>
      <w:marLeft w:val="0"/>
      <w:marRight w:val="0"/>
      <w:marTop w:val="0"/>
      <w:marBottom w:val="0"/>
      <w:divBdr>
        <w:top w:val="none" w:sz="0" w:space="0" w:color="auto"/>
        <w:left w:val="none" w:sz="0" w:space="0" w:color="auto"/>
        <w:bottom w:val="none" w:sz="0" w:space="0" w:color="auto"/>
        <w:right w:val="none" w:sz="0" w:space="0" w:color="auto"/>
      </w:divBdr>
      <w:divsChild>
        <w:div w:id="986280724">
          <w:marLeft w:val="274"/>
          <w:marRight w:val="0"/>
          <w:marTop w:val="0"/>
          <w:marBottom w:val="0"/>
          <w:divBdr>
            <w:top w:val="none" w:sz="0" w:space="0" w:color="auto"/>
            <w:left w:val="none" w:sz="0" w:space="0" w:color="auto"/>
            <w:bottom w:val="none" w:sz="0" w:space="0" w:color="auto"/>
            <w:right w:val="none" w:sz="0" w:space="0" w:color="auto"/>
          </w:divBdr>
        </w:div>
        <w:div w:id="1727991348">
          <w:marLeft w:val="274"/>
          <w:marRight w:val="0"/>
          <w:marTop w:val="0"/>
          <w:marBottom w:val="0"/>
          <w:divBdr>
            <w:top w:val="none" w:sz="0" w:space="0" w:color="auto"/>
            <w:left w:val="none" w:sz="0" w:space="0" w:color="auto"/>
            <w:bottom w:val="none" w:sz="0" w:space="0" w:color="auto"/>
            <w:right w:val="none" w:sz="0" w:space="0" w:color="auto"/>
          </w:divBdr>
        </w:div>
        <w:div w:id="232862317">
          <w:marLeft w:val="274"/>
          <w:marRight w:val="0"/>
          <w:marTop w:val="0"/>
          <w:marBottom w:val="0"/>
          <w:divBdr>
            <w:top w:val="none" w:sz="0" w:space="0" w:color="auto"/>
            <w:left w:val="none" w:sz="0" w:space="0" w:color="auto"/>
            <w:bottom w:val="none" w:sz="0" w:space="0" w:color="auto"/>
            <w:right w:val="none" w:sz="0" w:space="0" w:color="auto"/>
          </w:divBdr>
        </w:div>
        <w:div w:id="2044012611">
          <w:marLeft w:val="274"/>
          <w:marRight w:val="0"/>
          <w:marTop w:val="0"/>
          <w:marBottom w:val="0"/>
          <w:divBdr>
            <w:top w:val="none" w:sz="0" w:space="0" w:color="auto"/>
            <w:left w:val="none" w:sz="0" w:space="0" w:color="auto"/>
            <w:bottom w:val="none" w:sz="0" w:space="0" w:color="auto"/>
            <w:right w:val="none" w:sz="0" w:space="0" w:color="auto"/>
          </w:divBdr>
        </w:div>
        <w:div w:id="484709225">
          <w:marLeft w:val="274"/>
          <w:marRight w:val="0"/>
          <w:marTop w:val="0"/>
          <w:marBottom w:val="0"/>
          <w:divBdr>
            <w:top w:val="none" w:sz="0" w:space="0" w:color="auto"/>
            <w:left w:val="none" w:sz="0" w:space="0" w:color="auto"/>
            <w:bottom w:val="none" w:sz="0" w:space="0" w:color="auto"/>
            <w:right w:val="none" w:sz="0" w:space="0" w:color="auto"/>
          </w:divBdr>
        </w:div>
      </w:divsChild>
    </w:div>
    <w:div w:id="1023676791">
      <w:bodyDiv w:val="1"/>
      <w:marLeft w:val="0"/>
      <w:marRight w:val="0"/>
      <w:marTop w:val="0"/>
      <w:marBottom w:val="0"/>
      <w:divBdr>
        <w:top w:val="none" w:sz="0" w:space="0" w:color="auto"/>
        <w:left w:val="none" w:sz="0" w:space="0" w:color="auto"/>
        <w:bottom w:val="none" w:sz="0" w:space="0" w:color="auto"/>
        <w:right w:val="none" w:sz="0" w:space="0" w:color="auto"/>
      </w:divBdr>
    </w:div>
    <w:div w:id="1025860072">
      <w:bodyDiv w:val="1"/>
      <w:marLeft w:val="0"/>
      <w:marRight w:val="0"/>
      <w:marTop w:val="0"/>
      <w:marBottom w:val="0"/>
      <w:divBdr>
        <w:top w:val="none" w:sz="0" w:space="0" w:color="auto"/>
        <w:left w:val="none" w:sz="0" w:space="0" w:color="auto"/>
        <w:bottom w:val="none" w:sz="0" w:space="0" w:color="auto"/>
        <w:right w:val="none" w:sz="0" w:space="0" w:color="auto"/>
      </w:divBdr>
    </w:div>
    <w:div w:id="1043751951">
      <w:bodyDiv w:val="1"/>
      <w:marLeft w:val="0"/>
      <w:marRight w:val="0"/>
      <w:marTop w:val="0"/>
      <w:marBottom w:val="0"/>
      <w:divBdr>
        <w:top w:val="none" w:sz="0" w:space="0" w:color="auto"/>
        <w:left w:val="none" w:sz="0" w:space="0" w:color="auto"/>
        <w:bottom w:val="none" w:sz="0" w:space="0" w:color="auto"/>
        <w:right w:val="none" w:sz="0" w:space="0" w:color="auto"/>
      </w:divBdr>
      <w:divsChild>
        <w:div w:id="171729508">
          <w:marLeft w:val="0"/>
          <w:marRight w:val="0"/>
          <w:marTop w:val="0"/>
          <w:marBottom w:val="0"/>
          <w:divBdr>
            <w:top w:val="none" w:sz="0" w:space="0" w:color="auto"/>
            <w:left w:val="none" w:sz="0" w:space="0" w:color="auto"/>
            <w:bottom w:val="none" w:sz="0" w:space="0" w:color="auto"/>
            <w:right w:val="none" w:sz="0" w:space="0" w:color="auto"/>
          </w:divBdr>
        </w:div>
        <w:div w:id="878394892">
          <w:marLeft w:val="0"/>
          <w:marRight w:val="0"/>
          <w:marTop w:val="0"/>
          <w:marBottom w:val="0"/>
          <w:divBdr>
            <w:top w:val="none" w:sz="0" w:space="0" w:color="auto"/>
            <w:left w:val="none" w:sz="0" w:space="0" w:color="auto"/>
            <w:bottom w:val="none" w:sz="0" w:space="0" w:color="auto"/>
            <w:right w:val="none" w:sz="0" w:space="0" w:color="auto"/>
          </w:divBdr>
        </w:div>
        <w:div w:id="2010937133">
          <w:marLeft w:val="0"/>
          <w:marRight w:val="0"/>
          <w:marTop w:val="0"/>
          <w:marBottom w:val="0"/>
          <w:divBdr>
            <w:top w:val="none" w:sz="0" w:space="0" w:color="auto"/>
            <w:left w:val="none" w:sz="0" w:space="0" w:color="auto"/>
            <w:bottom w:val="none" w:sz="0" w:space="0" w:color="auto"/>
            <w:right w:val="none" w:sz="0" w:space="0" w:color="auto"/>
          </w:divBdr>
        </w:div>
        <w:div w:id="726147666">
          <w:marLeft w:val="0"/>
          <w:marRight w:val="0"/>
          <w:marTop w:val="0"/>
          <w:marBottom w:val="0"/>
          <w:divBdr>
            <w:top w:val="none" w:sz="0" w:space="0" w:color="auto"/>
            <w:left w:val="none" w:sz="0" w:space="0" w:color="auto"/>
            <w:bottom w:val="none" w:sz="0" w:space="0" w:color="auto"/>
            <w:right w:val="none" w:sz="0" w:space="0" w:color="auto"/>
          </w:divBdr>
        </w:div>
        <w:div w:id="975571469">
          <w:marLeft w:val="0"/>
          <w:marRight w:val="0"/>
          <w:marTop w:val="0"/>
          <w:marBottom w:val="0"/>
          <w:divBdr>
            <w:top w:val="none" w:sz="0" w:space="0" w:color="auto"/>
            <w:left w:val="none" w:sz="0" w:space="0" w:color="auto"/>
            <w:bottom w:val="none" w:sz="0" w:space="0" w:color="auto"/>
            <w:right w:val="none" w:sz="0" w:space="0" w:color="auto"/>
          </w:divBdr>
        </w:div>
        <w:div w:id="296226423">
          <w:marLeft w:val="0"/>
          <w:marRight w:val="0"/>
          <w:marTop w:val="0"/>
          <w:marBottom w:val="0"/>
          <w:divBdr>
            <w:top w:val="none" w:sz="0" w:space="0" w:color="auto"/>
            <w:left w:val="none" w:sz="0" w:space="0" w:color="auto"/>
            <w:bottom w:val="none" w:sz="0" w:space="0" w:color="auto"/>
            <w:right w:val="none" w:sz="0" w:space="0" w:color="auto"/>
          </w:divBdr>
        </w:div>
        <w:div w:id="1782912240">
          <w:marLeft w:val="0"/>
          <w:marRight w:val="0"/>
          <w:marTop w:val="0"/>
          <w:marBottom w:val="0"/>
          <w:divBdr>
            <w:top w:val="none" w:sz="0" w:space="0" w:color="auto"/>
            <w:left w:val="none" w:sz="0" w:space="0" w:color="auto"/>
            <w:bottom w:val="none" w:sz="0" w:space="0" w:color="auto"/>
            <w:right w:val="none" w:sz="0" w:space="0" w:color="auto"/>
          </w:divBdr>
        </w:div>
      </w:divsChild>
    </w:div>
    <w:div w:id="1043991232">
      <w:bodyDiv w:val="1"/>
      <w:marLeft w:val="0"/>
      <w:marRight w:val="0"/>
      <w:marTop w:val="0"/>
      <w:marBottom w:val="0"/>
      <w:divBdr>
        <w:top w:val="none" w:sz="0" w:space="0" w:color="auto"/>
        <w:left w:val="none" w:sz="0" w:space="0" w:color="auto"/>
        <w:bottom w:val="none" w:sz="0" w:space="0" w:color="auto"/>
        <w:right w:val="none" w:sz="0" w:space="0" w:color="auto"/>
      </w:divBdr>
      <w:divsChild>
        <w:div w:id="330565931">
          <w:marLeft w:val="0"/>
          <w:marRight w:val="0"/>
          <w:marTop w:val="0"/>
          <w:marBottom w:val="0"/>
          <w:divBdr>
            <w:top w:val="none" w:sz="0" w:space="0" w:color="auto"/>
            <w:left w:val="none" w:sz="0" w:space="0" w:color="auto"/>
            <w:bottom w:val="none" w:sz="0" w:space="0" w:color="auto"/>
            <w:right w:val="none" w:sz="0" w:space="0" w:color="auto"/>
          </w:divBdr>
        </w:div>
        <w:div w:id="156500877">
          <w:marLeft w:val="0"/>
          <w:marRight w:val="0"/>
          <w:marTop w:val="0"/>
          <w:marBottom w:val="0"/>
          <w:divBdr>
            <w:top w:val="none" w:sz="0" w:space="0" w:color="auto"/>
            <w:left w:val="none" w:sz="0" w:space="0" w:color="auto"/>
            <w:bottom w:val="none" w:sz="0" w:space="0" w:color="auto"/>
            <w:right w:val="none" w:sz="0" w:space="0" w:color="auto"/>
          </w:divBdr>
          <w:divsChild>
            <w:div w:id="1239288866">
              <w:marLeft w:val="0"/>
              <w:marRight w:val="0"/>
              <w:marTop w:val="0"/>
              <w:marBottom w:val="0"/>
              <w:divBdr>
                <w:top w:val="none" w:sz="0" w:space="0" w:color="auto"/>
                <w:left w:val="none" w:sz="0" w:space="0" w:color="auto"/>
                <w:bottom w:val="none" w:sz="0" w:space="0" w:color="auto"/>
                <w:right w:val="none" w:sz="0" w:space="0" w:color="auto"/>
              </w:divBdr>
              <w:divsChild>
                <w:div w:id="1262181745">
                  <w:marLeft w:val="0"/>
                  <w:marRight w:val="0"/>
                  <w:marTop w:val="0"/>
                  <w:marBottom w:val="0"/>
                  <w:divBdr>
                    <w:top w:val="none" w:sz="0" w:space="0" w:color="auto"/>
                    <w:left w:val="none" w:sz="0" w:space="0" w:color="auto"/>
                    <w:bottom w:val="none" w:sz="0" w:space="0" w:color="auto"/>
                    <w:right w:val="none" w:sz="0" w:space="0" w:color="auto"/>
                  </w:divBdr>
                  <w:divsChild>
                    <w:div w:id="301272957">
                      <w:marLeft w:val="0"/>
                      <w:marRight w:val="0"/>
                      <w:marTop w:val="0"/>
                      <w:marBottom w:val="0"/>
                      <w:divBdr>
                        <w:top w:val="none" w:sz="0" w:space="0" w:color="auto"/>
                        <w:left w:val="none" w:sz="0" w:space="0" w:color="auto"/>
                        <w:bottom w:val="none" w:sz="0" w:space="0" w:color="auto"/>
                        <w:right w:val="none" w:sz="0" w:space="0" w:color="auto"/>
                      </w:divBdr>
                      <w:divsChild>
                        <w:div w:id="1888299475">
                          <w:marLeft w:val="0"/>
                          <w:marRight w:val="0"/>
                          <w:marTop w:val="0"/>
                          <w:marBottom w:val="0"/>
                          <w:divBdr>
                            <w:top w:val="none" w:sz="0" w:space="0" w:color="auto"/>
                            <w:left w:val="none" w:sz="0" w:space="0" w:color="auto"/>
                            <w:bottom w:val="none" w:sz="0" w:space="0" w:color="auto"/>
                            <w:right w:val="none" w:sz="0" w:space="0" w:color="auto"/>
                          </w:divBdr>
                          <w:divsChild>
                            <w:div w:id="919215893">
                              <w:marLeft w:val="0"/>
                              <w:marRight w:val="0"/>
                              <w:marTop w:val="0"/>
                              <w:marBottom w:val="0"/>
                              <w:divBdr>
                                <w:top w:val="none" w:sz="0" w:space="0" w:color="auto"/>
                                <w:left w:val="none" w:sz="0" w:space="0" w:color="auto"/>
                                <w:bottom w:val="none" w:sz="0" w:space="0" w:color="auto"/>
                                <w:right w:val="none" w:sz="0" w:space="0" w:color="auto"/>
                              </w:divBdr>
                              <w:divsChild>
                                <w:div w:id="371612473">
                                  <w:marLeft w:val="0"/>
                                  <w:marRight w:val="0"/>
                                  <w:marTop w:val="0"/>
                                  <w:marBottom w:val="0"/>
                                  <w:divBdr>
                                    <w:top w:val="none" w:sz="0" w:space="0" w:color="auto"/>
                                    <w:left w:val="none" w:sz="0" w:space="0" w:color="auto"/>
                                    <w:bottom w:val="none" w:sz="0" w:space="0" w:color="auto"/>
                                    <w:right w:val="none" w:sz="0" w:space="0" w:color="auto"/>
                                  </w:divBdr>
                                  <w:divsChild>
                                    <w:div w:id="1755934104">
                                      <w:marLeft w:val="0"/>
                                      <w:marRight w:val="0"/>
                                      <w:marTop w:val="0"/>
                                      <w:marBottom w:val="0"/>
                                      <w:divBdr>
                                        <w:top w:val="none" w:sz="0" w:space="0" w:color="auto"/>
                                        <w:left w:val="none" w:sz="0" w:space="0" w:color="auto"/>
                                        <w:bottom w:val="none" w:sz="0" w:space="0" w:color="auto"/>
                                        <w:right w:val="none" w:sz="0" w:space="0" w:color="auto"/>
                                      </w:divBdr>
                                      <w:divsChild>
                                        <w:div w:id="1997538283">
                                          <w:marLeft w:val="0"/>
                                          <w:marRight w:val="0"/>
                                          <w:marTop w:val="0"/>
                                          <w:marBottom w:val="0"/>
                                          <w:divBdr>
                                            <w:top w:val="none" w:sz="0" w:space="0" w:color="auto"/>
                                            <w:left w:val="none" w:sz="0" w:space="0" w:color="auto"/>
                                            <w:bottom w:val="none" w:sz="0" w:space="0" w:color="auto"/>
                                            <w:right w:val="none" w:sz="0" w:space="0" w:color="auto"/>
                                          </w:divBdr>
                                          <w:divsChild>
                                            <w:div w:id="47463488">
                                              <w:marLeft w:val="0"/>
                                              <w:marRight w:val="0"/>
                                              <w:marTop w:val="0"/>
                                              <w:marBottom w:val="0"/>
                                              <w:divBdr>
                                                <w:top w:val="none" w:sz="0" w:space="0" w:color="auto"/>
                                                <w:left w:val="none" w:sz="0" w:space="0" w:color="auto"/>
                                                <w:bottom w:val="none" w:sz="0" w:space="0" w:color="auto"/>
                                                <w:right w:val="none" w:sz="0" w:space="0" w:color="auto"/>
                                              </w:divBdr>
                                              <w:divsChild>
                                                <w:div w:id="764351299">
                                                  <w:marLeft w:val="0"/>
                                                  <w:marRight w:val="0"/>
                                                  <w:marTop w:val="0"/>
                                                  <w:marBottom w:val="0"/>
                                                  <w:divBdr>
                                                    <w:top w:val="none" w:sz="0" w:space="0" w:color="auto"/>
                                                    <w:left w:val="none" w:sz="0" w:space="0" w:color="auto"/>
                                                    <w:bottom w:val="none" w:sz="0" w:space="0" w:color="auto"/>
                                                    <w:right w:val="none" w:sz="0" w:space="0" w:color="auto"/>
                                                  </w:divBdr>
                                                  <w:divsChild>
                                                    <w:div w:id="588078158">
                                                      <w:marLeft w:val="0"/>
                                                      <w:marRight w:val="0"/>
                                                      <w:marTop w:val="0"/>
                                                      <w:marBottom w:val="0"/>
                                                      <w:divBdr>
                                                        <w:top w:val="none" w:sz="0" w:space="0" w:color="auto"/>
                                                        <w:left w:val="none" w:sz="0" w:space="0" w:color="auto"/>
                                                        <w:bottom w:val="none" w:sz="0" w:space="0" w:color="auto"/>
                                                        <w:right w:val="none" w:sz="0" w:space="0" w:color="auto"/>
                                                      </w:divBdr>
                                                      <w:divsChild>
                                                        <w:div w:id="2063480139">
                                                          <w:marLeft w:val="0"/>
                                                          <w:marRight w:val="0"/>
                                                          <w:marTop w:val="0"/>
                                                          <w:marBottom w:val="0"/>
                                                          <w:divBdr>
                                                            <w:top w:val="none" w:sz="0" w:space="0" w:color="auto"/>
                                                            <w:left w:val="none" w:sz="0" w:space="0" w:color="auto"/>
                                                            <w:bottom w:val="none" w:sz="0" w:space="0" w:color="auto"/>
                                                            <w:right w:val="none" w:sz="0" w:space="0" w:color="auto"/>
                                                          </w:divBdr>
                                                          <w:divsChild>
                                                            <w:div w:id="224488709">
                                                              <w:marLeft w:val="0"/>
                                                              <w:marRight w:val="0"/>
                                                              <w:marTop w:val="0"/>
                                                              <w:marBottom w:val="0"/>
                                                              <w:divBdr>
                                                                <w:top w:val="none" w:sz="0" w:space="0" w:color="auto"/>
                                                                <w:left w:val="none" w:sz="0" w:space="0" w:color="auto"/>
                                                                <w:bottom w:val="none" w:sz="0" w:space="0" w:color="auto"/>
                                                                <w:right w:val="none" w:sz="0" w:space="0" w:color="auto"/>
                                                              </w:divBdr>
                                                              <w:divsChild>
                                                                <w:div w:id="1186213481">
                                                                  <w:marLeft w:val="0"/>
                                                                  <w:marRight w:val="0"/>
                                                                  <w:marTop w:val="0"/>
                                                                  <w:marBottom w:val="0"/>
                                                                  <w:divBdr>
                                                                    <w:top w:val="none" w:sz="0" w:space="0" w:color="auto"/>
                                                                    <w:left w:val="none" w:sz="0" w:space="0" w:color="auto"/>
                                                                    <w:bottom w:val="none" w:sz="0" w:space="0" w:color="auto"/>
                                                                    <w:right w:val="none" w:sz="0" w:space="0" w:color="auto"/>
                                                                  </w:divBdr>
                                                                </w:div>
                                                                <w:div w:id="4092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4864311">
      <w:bodyDiv w:val="1"/>
      <w:marLeft w:val="0"/>
      <w:marRight w:val="0"/>
      <w:marTop w:val="0"/>
      <w:marBottom w:val="0"/>
      <w:divBdr>
        <w:top w:val="none" w:sz="0" w:space="0" w:color="auto"/>
        <w:left w:val="none" w:sz="0" w:space="0" w:color="auto"/>
        <w:bottom w:val="none" w:sz="0" w:space="0" w:color="auto"/>
        <w:right w:val="none" w:sz="0" w:space="0" w:color="auto"/>
      </w:divBdr>
    </w:div>
    <w:div w:id="1114129709">
      <w:bodyDiv w:val="1"/>
      <w:marLeft w:val="0"/>
      <w:marRight w:val="0"/>
      <w:marTop w:val="0"/>
      <w:marBottom w:val="0"/>
      <w:divBdr>
        <w:top w:val="none" w:sz="0" w:space="0" w:color="auto"/>
        <w:left w:val="none" w:sz="0" w:space="0" w:color="auto"/>
        <w:bottom w:val="none" w:sz="0" w:space="0" w:color="auto"/>
        <w:right w:val="none" w:sz="0" w:space="0" w:color="auto"/>
      </w:divBdr>
    </w:div>
    <w:div w:id="1119422392">
      <w:bodyDiv w:val="1"/>
      <w:marLeft w:val="0"/>
      <w:marRight w:val="0"/>
      <w:marTop w:val="0"/>
      <w:marBottom w:val="0"/>
      <w:divBdr>
        <w:top w:val="none" w:sz="0" w:space="0" w:color="auto"/>
        <w:left w:val="none" w:sz="0" w:space="0" w:color="auto"/>
        <w:bottom w:val="none" w:sz="0" w:space="0" w:color="auto"/>
        <w:right w:val="none" w:sz="0" w:space="0" w:color="auto"/>
      </w:divBdr>
      <w:divsChild>
        <w:div w:id="1052272841">
          <w:marLeft w:val="0"/>
          <w:marRight w:val="0"/>
          <w:marTop w:val="0"/>
          <w:marBottom w:val="0"/>
          <w:divBdr>
            <w:top w:val="none" w:sz="0" w:space="0" w:color="auto"/>
            <w:left w:val="none" w:sz="0" w:space="0" w:color="auto"/>
            <w:bottom w:val="none" w:sz="0" w:space="0" w:color="auto"/>
            <w:right w:val="none" w:sz="0" w:space="0" w:color="auto"/>
          </w:divBdr>
        </w:div>
        <w:div w:id="458570265">
          <w:marLeft w:val="0"/>
          <w:marRight w:val="0"/>
          <w:marTop w:val="0"/>
          <w:marBottom w:val="0"/>
          <w:divBdr>
            <w:top w:val="none" w:sz="0" w:space="0" w:color="auto"/>
            <w:left w:val="none" w:sz="0" w:space="0" w:color="auto"/>
            <w:bottom w:val="none" w:sz="0" w:space="0" w:color="auto"/>
            <w:right w:val="none" w:sz="0" w:space="0" w:color="auto"/>
          </w:divBdr>
        </w:div>
        <w:div w:id="2048213922">
          <w:marLeft w:val="0"/>
          <w:marRight w:val="0"/>
          <w:marTop w:val="0"/>
          <w:marBottom w:val="0"/>
          <w:divBdr>
            <w:top w:val="none" w:sz="0" w:space="0" w:color="auto"/>
            <w:left w:val="none" w:sz="0" w:space="0" w:color="auto"/>
            <w:bottom w:val="none" w:sz="0" w:space="0" w:color="auto"/>
            <w:right w:val="none" w:sz="0" w:space="0" w:color="auto"/>
          </w:divBdr>
        </w:div>
      </w:divsChild>
    </w:div>
    <w:div w:id="1135876418">
      <w:bodyDiv w:val="1"/>
      <w:marLeft w:val="0"/>
      <w:marRight w:val="0"/>
      <w:marTop w:val="0"/>
      <w:marBottom w:val="0"/>
      <w:divBdr>
        <w:top w:val="none" w:sz="0" w:space="0" w:color="auto"/>
        <w:left w:val="none" w:sz="0" w:space="0" w:color="auto"/>
        <w:bottom w:val="none" w:sz="0" w:space="0" w:color="auto"/>
        <w:right w:val="none" w:sz="0" w:space="0" w:color="auto"/>
      </w:divBdr>
      <w:divsChild>
        <w:div w:id="2041975144">
          <w:marLeft w:val="0"/>
          <w:marRight w:val="0"/>
          <w:marTop w:val="0"/>
          <w:marBottom w:val="0"/>
          <w:divBdr>
            <w:top w:val="none" w:sz="0" w:space="0" w:color="auto"/>
            <w:left w:val="none" w:sz="0" w:space="0" w:color="auto"/>
            <w:bottom w:val="none" w:sz="0" w:space="0" w:color="auto"/>
            <w:right w:val="none" w:sz="0" w:space="0" w:color="auto"/>
          </w:divBdr>
          <w:divsChild>
            <w:div w:id="99424201">
              <w:marLeft w:val="0"/>
              <w:marRight w:val="0"/>
              <w:marTop w:val="0"/>
              <w:marBottom w:val="120"/>
              <w:divBdr>
                <w:top w:val="none" w:sz="0" w:space="0" w:color="auto"/>
                <w:left w:val="none" w:sz="0" w:space="0" w:color="auto"/>
                <w:bottom w:val="none" w:sz="0" w:space="0" w:color="auto"/>
                <w:right w:val="none" w:sz="0" w:space="0" w:color="auto"/>
              </w:divBdr>
              <w:divsChild>
                <w:div w:id="11157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6673">
      <w:bodyDiv w:val="1"/>
      <w:marLeft w:val="0"/>
      <w:marRight w:val="0"/>
      <w:marTop w:val="0"/>
      <w:marBottom w:val="0"/>
      <w:divBdr>
        <w:top w:val="none" w:sz="0" w:space="0" w:color="auto"/>
        <w:left w:val="none" w:sz="0" w:space="0" w:color="auto"/>
        <w:bottom w:val="none" w:sz="0" w:space="0" w:color="auto"/>
        <w:right w:val="none" w:sz="0" w:space="0" w:color="auto"/>
      </w:divBdr>
    </w:div>
    <w:div w:id="1151556364">
      <w:bodyDiv w:val="1"/>
      <w:marLeft w:val="0"/>
      <w:marRight w:val="0"/>
      <w:marTop w:val="0"/>
      <w:marBottom w:val="0"/>
      <w:divBdr>
        <w:top w:val="none" w:sz="0" w:space="0" w:color="auto"/>
        <w:left w:val="none" w:sz="0" w:space="0" w:color="auto"/>
        <w:bottom w:val="none" w:sz="0" w:space="0" w:color="auto"/>
        <w:right w:val="none" w:sz="0" w:space="0" w:color="auto"/>
      </w:divBdr>
    </w:div>
    <w:div w:id="1171529573">
      <w:bodyDiv w:val="1"/>
      <w:marLeft w:val="0"/>
      <w:marRight w:val="0"/>
      <w:marTop w:val="0"/>
      <w:marBottom w:val="0"/>
      <w:divBdr>
        <w:top w:val="none" w:sz="0" w:space="0" w:color="auto"/>
        <w:left w:val="none" w:sz="0" w:space="0" w:color="auto"/>
        <w:bottom w:val="none" w:sz="0" w:space="0" w:color="auto"/>
        <w:right w:val="none" w:sz="0" w:space="0" w:color="auto"/>
      </w:divBdr>
    </w:div>
    <w:div w:id="1188518545">
      <w:bodyDiv w:val="1"/>
      <w:marLeft w:val="0"/>
      <w:marRight w:val="0"/>
      <w:marTop w:val="0"/>
      <w:marBottom w:val="0"/>
      <w:divBdr>
        <w:top w:val="none" w:sz="0" w:space="0" w:color="auto"/>
        <w:left w:val="none" w:sz="0" w:space="0" w:color="auto"/>
        <w:bottom w:val="none" w:sz="0" w:space="0" w:color="auto"/>
        <w:right w:val="none" w:sz="0" w:space="0" w:color="auto"/>
      </w:divBdr>
    </w:div>
    <w:div w:id="1201700141">
      <w:bodyDiv w:val="1"/>
      <w:marLeft w:val="0"/>
      <w:marRight w:val="0"/>
      <w:marTop w:val="0"/>
      <w:marBottom w:val="0"/>
      <w:divBdr>
        <w:top w:val="none" w:sz="0" w:space="0" w:color="auto"/>
        <w:left w:val="none" w:sz="0" w:space="0" w:color="auto"/>
        <w:bottom w:val="none" w:sz="0" w:space="0" w:color="auto"/>
        <w:right w:val="none" w:sz="0" w:space="0" w:color="auto"/>
      </w:divBdr>
    </w:div>
    <w:div w:id="1207108446">
      <w:bodyDiv w:val="1"/>
      <w:marLeft w:val="0"/>
      <w:marRight w:val="0"/>
      <w:marTop w:val="0"/>
      <w:marBottom w:val="0"/>
      <w:divBdr>
        <w:top w:val="none" w:sz="0" w:space="0" w:color="auto"/>
        <w:left w:val="none" w:sz="0" w:space="0" w:color="auto"/>
        <w:bottom w:val="none" w:sz="0" w:space="0" w:color="auto"/>
        <w:right w:val="none" w:sz="0" w:space="0" w:color="auto"/>
      </w:divBdr>
      <w:divsChild>
        <w:div w:id="236214619">
          <w:marLeft w:val="274"/>
          <w:marRight w:val="0"/>
          <w:marTop w:val="0"/>
          <w:marBottom w:val="0"/>
          <w:divBdr>
            <w:top w:val="none" w:sz="0" w:space="0" w:color="auto"/>
            <w:left w:val="none" w:sz="0" w:space="0" w:color="auto"/>
            <w:bottom w:val="none" w:sz="0" w:space="0" w:color="auto"/>
            <w:right w:val="none" w:sz="0" w:space="0" w:color="auto"/>
          </w:divBdr>
        </w:div>
        <w:div w:id="1987391539">
          <w:marLeft w:val="274"/>
          <w:marRight w:val="0"/>
          <w:marTop w:val="0"/>
          <w:marBottom w:val="0"/>
          <w:divBdr>
            <w:top w:val="none" w:sz="0" w:space="0" w:color="auto"/>
            <w:left w:val="none" w:sz="0" w:space="0" w:color="auto"/>
            <w:bottom w:val="none" w:sz="0" w:space="0" w:color="auto"/>
            <w:right w:val="none" w:sz="0" w:space="0" w:color="auto"/>
          </w:divBdr>
        </w:div>
        <w:div w:id="141431724">
          <w:marLeft w:val="274"/>
          <w:marRight w:val="0"/>
          <w:marTop w:val="0"/>
          <w:marBottom w:val="0"/>
          <w:divBdr>
            <w:top w:val="none" w:sz="0" w:space="0" w:color="auto"/>
            <w:left w:val="none" w:sz="0" w:space="0" w:color="auto"/>
            <w:bottom w:val="none" w:sz="0" w:space="0" w:color="auto"/>
            <w:right w:val="none" w:sz="0" w:space="0" w:color="auto"/>
          </w:divBdr>
        </w:div>
        <w:div w:id="1839540802">
          <w:marLeft w:val="274"/>
          <w:marRight w:val="0"/>
          <w:marTop w:val="0"/>
          <w:marBottom w:val="0"/>
          <w:divBdr>
            <w:top w:val="none" w:sz="0" w:space="0" w:color="auto"/>
            <w:left w:val="none" w:sz="0" w:space="0" w:color="auto"/>
            <w:bottom w:val="none" w:sz="0" w:space="0" w:color="auto"/>
            <w:right w:val="none" w:sz="0" w:space="0" w:color="auto"/>
          </w:divBdr>
        </w:div>
        <w:div w:id="655962964">
          <w:marLeft w:val="274"/>
          <w:marRight w:val="0"/>
          <w:marTop w:val="0"/>
          <w:marBottom w:val="0"/>
          <w:divBdr>
            <w:top w:val="none" w:sz="0" w:space="0" w:color="auto"/>
            <w:left w:val="none" w:sz="0" w:space="0" w:color="auto"/>
            <w:bottom w:val="none" w:sz="0" w:space="0" w:color="auto"/>
            <w:right w:val="none" w:sz="0" w:space="0" w:color="auto"/>
          </w:divBdr>
        </w:div>
        <w:div w:id="2021613434">
          <w:marLeft w:val="274"/>
          <w:marRight w:val="0"/>
          <w:marTop w:val="0"/>
          <w:marBottom w:val="0"/>
          <w:divBdr>
            <w:top w:val="none" w:sz="0" w:space="0" w:color="auto"/>
            <w:left w:val="none" w:sz="0" w:space="0" w:color="auto"/>
            <w:bottom w:val="none" w:sz="0" w:space="0" w:color="auto"/>
            <w:right w:val="none" w:sz="0" w:space="0" w:color="auto"/>
          </w:divBdr>
        </w:div>
        <w:div w:id="1218588320">
          <w:marLeft w:val="274"/>
          <w:marRight w:val="0"/>
          <w:marTop w:val="0"/>
          <w:marBottom w:val="0"/>
          <w:divBdr>
            <w:top w:val="none" w:sz="0" w:space="0" w:color="auto"/>
            <w:left w:val="none" w:sz="0" w:space="0" w:color="auto"/>
            <w:bottom w:val="none" w:sz="0" w:space="0" w:color="auto"/>
            <w:right w:val="none" w:sz="0" w:space="0" w:color="auto"/>
          </w:divBdr>
        </w:div>
        <w:div w:id="1952780287">
          <w:marLeft w:val="274"/>
          <w:marRight w:val="0"/>
          <w:marTop w:val="0"/>
          <w:marBottom w:val="0"/>
          <w:divBdr>
            <w:top w:val="none" w:sz="0" w:space="0" w:color="auto"/>
            <w:left w:val="none" w:sz="0" w:space="0" w:color="auto"/>
            <w:bottom w:val="none" w:sz="0" w:space="0" w:color="auto"/>
            <w:right w:val="none" w:sz="0" w:space="0" w:color="auto"/>
          </w:divBdr>
        </w:div>
      </w:divsChild>
    </w:div>
    <w:div w:id="1208420066">
      <w:bodyDiv w:val="1"/>
      <w:marLeft w:val="0"/>
      <w:marRight w:val="0"/>
      <w:marTop w:val="0"/>
      <w:marBottom w:val="0"/>
      <w:divBdr>
        <w:top w:val="none" w:sz="0" w:space="0" w:color="auto"/>
        <w:left w:val="none" w:sz="0" w:space="0" w:color="auto"/>
        <w:bottom w:val="none" w:sz="0" w:space="0" w:color="auto"/>
        <w:right w:val="none" w:sz="0" w:space="0" w:color="auto"/>
      </w:divBdr>
    </w:div>
    <w:div w:id="1235429260">
      <w:bodyDiv w:val="1"/>
      <w:marLeft w:val="0"/>
      <w:marRight w:val="0"/>
      <w:marTop w:val="0"/>
      <w:marBottom w:val="0"/>
      <w:divBdr>
        <w:top w:val="none" w:sz="0" w:space="0" w:color="auto"/>
        <w:left w:val="none" w:sz="0" w:space="0" w:color="auto"/>
        <w:bottom w:val="none" w:sz="0" w:space="0" w:color="auto"/>
        <w:right w:val="none" w:sz="0" w:space="0" w:color="auto"/>
      </w:divBdr>
    </w:div>
    <w:div w:id="1252398789">
      <w:bodyDiv w:val="1"/>
      <w:marLeft w:val="0"/>
      <w:marRight w:val="0"/>
      <w:marTop w:val="0"/>
      <w:marBottom w:val="0"/>
      <w:divBdr>
        <w:top w:val="none" w:sz="0" w:space="0" w:color="auto"/>
        <w:left w:val="none" w:sz="0" w:space="0" w:color="auto"/>
        <w:bottom w:val="none" w:sz="0" w:space="0" w:color="auto"/>
        <w:right w:val="none" w:sz="0" w:space="0" w:color="auto"/>
      </w:divBdr>
    </w:div>
    <w:div w:id="1264000500">
      <w:bodyDiv w:val="1"/>
      <w:marLeft w:val="0"/>
      <w:marRight w:val="0"/>
      <w:marTop w:val="0"/>
      <w:marBottom w:val="0"/>
      <w:divBdr>
        <w:top w:val="none" w:sz="0" w:space="0" w:color="auto"/>
        <w:left w:val="none" w:sz="0" w:space="0" w:color="auto"/>
        <w:bottom w:val="none" w:sz="0" w:space="0" w:color="auto"/>
        <w:right w:val="none" w:sz="0" w:space="0" w:color="auto"/>
      </w:divBdr>
    </w:div>
    <w:div w:id="1281184136">
      <w:bodyDiv w:val="1"/>
      <w:marLeft w:val="0"/>
      <w:marRight w:val="0"/>
      <w:marTop w:val="0"/>
      <w:marBottom w:val="0"/>
      <w:divBdr>
        <w:top w:val="none" w:sz="0" w:space="0" w:color="auto"/>
        <w:left w:val="none" w:sz="0" w:space="0" w:color="auto"/>
        <w:bottom w:val="none" w:sz="0" w:space="0" w:color="auto"/>
        <w:right w:val="none" w:sz="0" w:space="0" w:color="auto"/>
      </w:divBdr>
    </w:div>
    <w:div w:id="1290277533">
      <w:bodyDiv w:val="1"/>
      <w:marLeft w:val="0"/>
      <w:marRight w:val="0"/>
      <w:marTop w:val="0"/>
      <w:marBottom w:val="0"/>
      <w:divBdr>
        <w:top w:val="none" w:sz="0" w:space="0" w:color="auto"/>
        <w:left w:val="none" w:sz="0" w:space="0" w:color="auto"/>
        <w:bottom w:val="none" w:sz="0" w:space="0" w:color="auto"/>
        <w:right w:val="none" w:sz="0" w:space="0" w:color="auto"/>
      </w:divBdr>
    </w:div>
    <w:div w:id="1298030414">
      <w:bodyDiv w:val="1"/>
      <w:marLeft w:val="0"/>
      <w:marRight w:val="0"/>
      <w:marTop w:val="0"/>
      <w:marBottom w:val="0"/>
      <w:divBdr>
        <w:top w:val="none" w:sz="0" w:space="0" w:color="auto"/>
        <w:left w:val="none" w:sz="0" w:space="0" w:color="auto"/>
        <w:bottom w:val="none" w:sz="0" w:space="0" w:color="auto"/>
        <w:right w:val="none" w:sz="0" w:space="0" w:color="auto"/>
      </w:divBdr>
    </w:div>
    <w:div w:id="1299265487">
      <w:bodyDiv w:val="1"/>
      <w:marLeft w:val="0"/>
      <w:marRight w:val="0"/>
      <w:marTop w:val="0"/>
      <w:marBottom w:val="0"/>
      <w:divBdr>
        <w:top w:val="none" w:sz="0" w:space="0" w:color="auto"/>
        <w:left w:val="none" w:sz="0" w:space="0" w:color="auto"/>
        <w:bottom w:val="none" w:sz="0" w:space="0" w:color="auto"/>
        <w:right w:val="none" w:sz="0" w:space="0" w:color="auto"/>
      </w:divBdr>
    </w:div>
    <w:div w:id="1302492437">
      <w:bodyDiv w:val="1"/>
      <w:marLeft w:val="0"/>
      <w:marRight w:val="0"/>
      <w:marTop w:val="0"/>
      <w:marBottom w:val="0"/>
      <w:divBdr>
        <w:top w:val="none" w:sz="0" w:space="0" w:color="auto"/>
        <w:left w:val="none" w:sz="0" w:space="0" w:color="auto"/>
        <w:bottom w:val="none" w:sz="0" w:space="0" w:color="auto"/>
        <w:right w:val="none" w:sz="0" w:space="0" w:color="auto"/>
      </w:divBdr>
    </w:div>
    <w:div w:id="1337075722">
      <w:bodyDiv w:val="1"/>
      <w:marLeft w:val="0"/>
      <w:marRight w:val="0"/>
      <w:marTop w:val="0"/>
      <w:marBottom w:val="0"/>
      <w:divBdr>
        <w:top w:val="none" w:sz="0" w:space="0" w:color="auto"/>
        <w:left w:val="none" w:sz="0" w:space="0" w:color="auto"/>
        <w:bottom w:val="none" w:sz="0" w:space="0" w:color="auto"/>
        <w:right w:val="none" w:sz="0" w:space="0" w:color="auto"/>
      </w:divBdr>
    </w:div>
    <w:div w:id="1349679492">
      <w:bodyDiv w:val="1"/>
      <w:marLeft w:val="0"/>
      <w:marRight w:val="0"/>
      <w:marTop w:val="0"/>
      <w:marBottom w:val="0"/>
      <w:divBdr>
        <w:top w:val="none" w:sz="0" w:space="0" w:color="auto"/>
        <w:left w:val="none" w:sz="0" w:space="0" w:color="auto"/>
        <w:bottom w:val="none" w:sz="0" w:space="0" w:color="auto"/>
        <w:right w:val="none" w:sz="0" w:space="0" w:color="auto"/>
      </w:divBdr>
    </w:div>
    <w:div w:id="1375346770">
      <w:bodyDiv w:val="1"/>
      <w:marLeft w:val="0"/>
      <w:marRight w:val="0"/>
      <w:marTop w:val="0"/>
      <w:marBottom w:val="0"/>
      <w:divBdr>
        <w:top w:val="none" w:sz="0" w:space="0" w:color="auto"/>
        <w:left w:val="none" w:sz="0" w:space="0" w:color="auto"/>
        <w:bottom w:val="none" w:sz="0" w:space="0" w:color="auto"/>
        <w:right w:val="none" w:sz="0" w:space="0" w:color="auto"/>
      </w:divBdr>
    </w:div>
    <w:div w:id="1379890339">
      <w:bodyDiv w:val="1"/>
      <w:marLeft w:val="0"/>
      <w:marRight w:val="0"/>
      <w:marTop w:val="0"/>
      <w:marBottom w:val="0"/>
      <w:divBdr>
        <w:top w:val="none" w:sz="0" w:space="0" w:color="auto"/>
        <w:left w:val="none" w:sz="0" w:space="0" w:color="auto"/>
        <w:bottom w:val="none" w:sz="0" w:space="0" w:color="auto"/>
        <w:right w:val="none" w:sz="0" w:space="0" w:color="auto"/>
      </w:divBdr>
    </w:div>
    <w:div w:id="1380670326">
      <w:bodyDiv w:val="1"/>
      <w:marLeft w:val="0"/>
      <w:marRight w:val="0"/>
      <w:marTop w:val="0"/>
      <w:marBottom w:val="0"/>
      <w:divBdr>
        <w:top w:val="none" w:sz="0" w:space="0" w:color="auto"/>
        <w:left w:val="none" w:sz="0" w:space="0" w:color="auto"/>
        <w:bottom w:val="none" w:sz="0" w:space="0" w:color="auto"/>
        <w:right w:val="none" w:sz="0" w:space="0" w:color="auto"/>
      </w:divBdr>
      <w:divsChild>
        <w:div w:id="1794252681">
          <w:marLeft w:val="0"/>
          <w:marRight w:val="0"/>
          <w:marTop w:val="0"/>
          <w:marBottom w:val="0"/>
          <w:divBdr>
            <w:top w:val="none" w:sz="0" w:space="0" w:color="auto"/>
            <w:left w:val="none" w:sz="0" w:space="0" w:color="auto"/>
            <w:bottom w:val="none" w:sz="0" w:space="0" w:color="auto"/>
            <w:right w:val="none" w:sz="0" w:space="0" w:color="auto"/>
          </w:divBdr>
        </w:div>
        <w:div w:id="1715615205">
          <w:marLeft w:val="0"/>
          <w:marRight w:val="0"/>
          <w:marTop w:val="0"/>
          <w:marBottom w:val="0"/>
          <w:divBdr>
            <w:top w:val="none" w:sz="0" w:space="0" w:color="auto"/>
            <w:left w:val="none" w:sz="0" w:space="0" w:color="auto"/>
            <w:bottom w:val="none" w:sz="0" w:space="0" w:color="auto"/>
            <w:right w:val="none" w:sz="0" w:space="0" w:color="auto"/>
          </w:divBdr>
        </w:div>
        <w:div w:id="1082490377">
          <w:marLeft w:val="0"/>
          <w:marRight w:val="0"/>
          <w:marTop w:val="0"/>
          <w:marBottom w:val="0"/>
          <w:divBdr>
            <w:top w:val="none" w:sz="0" w:space="0" w:color="auto"/>
            <w:left w:val="none" w:sz="0" w:space="0" w:color="auto"/>
            <w:bottom w:val="none" w:sz="0" w:space="0" w:color="auto"/>
            <w:right w:val="none" w:sz="0" w:space="0" w:color="auto"/>
          </w:divBdr>
        </w:div>
        <w:div w:id="1493258350">
          <w:marLeft w:val="0"/>
          <w:marRight w:val="0"/>
          <w:marTop w:val="0"/>
          <w:marBottom w:val="0"/>
          <w:divBdr>
            <w:top w:val="none" w:sz="0" w:space="0" w:color="auto"/>
            <w:left w:val="none" w:sz="0" w:space="0" w:color="auto"/>
            <w:bottom w:val="none" w:sz="0" w:space="0" w:color="auto"/>
            <w:right w:val="none" w:sz="0" w:space="0" w:color="auto"/>
          </w:divBdr>
        </w:div>
        <w:div w:id="853809643">
          <w:marLeft w:val="0"/>
          <w:marRight w:val="0"/>
          <w:marTop w:val="0"/>
          <w:marBottom w:val="0"/>
          <w:divBdr>
            <w:top w:val="none" w:sz="0" w:space="0" w:color="auto"/>
            <w:left w:val="none" w:sz="0" w:space="0" w:color="auto"/>
            <w:bottom w:val="none" w:sz="0" w:space="0" w:color="auto"/>
            <w:right w:val="none" w:sz="0" w:space="0" w:color="auto"/>
          </w:divBdr>
        </w:div>
        <w:div w:id="669677105">
          <w:marLeft w:val="0"/>
          <w:marRight w:val="0"/>
          <w:marTop w:val="0"/>
          <w:marBottom w:val="0"/>
          <w:divBdr>
            <w:top w:val="none" w:sz="0" w:space="0" w:color="auto"/>
            <w:left w:val="none" w:sz="0" w:space="0" w:color="auto"/>
            <w:bottom w:val="none" w:sz="0" w:space="0" w:color="auto"/>
            <w:right w:val="none" w:sz="0" w:space="0" w:color="auto"/>
          </w:divBdr>
          <w:divsChild>
            <w:div w:id="117770438">
              <w:marLeft w:val="0"/>
              <w:marRight w:val="0"/>
              <w:marTop w:val="0"/>
              <w:marBottom w:val="0"/>
              <w:divBdr>
                <w:top w:val="none" w:sz="0" w:space="0" w:color="auto"/>
                <w:left w:val="none" w:sz="0" w:space="0" w:color="auto"/>
                <w:bottom w:val="none" w:sz="0" w:space="0" w:color="auto"/>
                <w:right w:val="none" w:sz="0" w:space="0" w:color="auto"/>
              </w:divBdr>
              <w:divsChild>
                <w:div w:id="872155846">
                  <w:marLeft w:val="0"/>
                  <w:marRight w:val="0"/>
                  <w:marTop w:val="0"/>
                  <w:marBottom w:val="0"/>
                  <w:divBdr>
                    <w:top w:val="none" w:sz="0" w:space="0" w:color="auto"/>
                    <w:left w:val="none" w:sz="0" w:space="0" w:color="auto"/>
                    <w:bottom w:val="none" w:sz="0" w:space="0" w:color="auto"/>
                    <w:right w:val="none" w:sz="0" w:space="0" w:color="auto"/>
                  </w:divBdr>
                </w:div>
                <w:div w:id="1575891578">
                  <w:marLeft w:val="0"/>
                  <w:marRight w:val="0"/>
                  <w:marTop w:val="0"/>
                  <w:marBottom w:val="0"/>
                  <w:divBdr>
                    <w:top w:val="none" w:sz="0" w:space="0" w:color="auto"/>
                    <w:left w:val="none" w:sz="0" w:space="0" w:color="auto"/>
                    <w:bottom w:val="none" w:sz="0" w:space="0" w:color="auto"/>
                    <w:right w:val="none" w:sz="0" w:space="0" w:color="auto"/>
                  </w:divBdr>
                </w:div>
                <w:div w:id="2793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7024">
      <w:bodyDiv w:val="1"/>
      <w:marLeft w:val="0"/>
      <w:marRight w:val="0"/>
      <w:marTop w:val="0"/>
      <w:marBottom w:val="0"/>
      <w:divBdr>
        <w:top w:val="none" w:sz="0" w:space="0" w:color="auto"/>
        <w:left w:val="none" w:sz="0" w:space="0" w:color="auto"/>
        <w:bottom w:val="none" w:sz="0" w:space="0" w:color="auto"/>
        <w:right w:val="none" w:sz="0" w:space="0" w:color="auto"/>
      </w:divBdr>
      <w:divsChild>
        <w:div w:id="1239244263">
          <w:marLeft w:val="360"/>
          <w:marRight w:val="0"/>
          <w:marTop w:val="0"/>
          <w:marBottom w:val="0"/>
          <w:divBdr>
            <w:top w:val="none" w:sz="0" w:space="0" w:color="auto"/>
            <w:left w:val="none" w:sz="0" w:space="0" w:color="auto"/>
            <w:bottom w:val="none" w:sz="0" w:space="0" w:color="auto"/>
            <w:right w:val="none" w:sz="0" w:space="0" w:color="auto"/>
          </w:divBdr>
        </w:div>
        <w:div w:id="1876499351">
          <w:marLeft w:val="360"/>
          <w:marRight w:val="0"/>
          <w:marTop w:val="0"/>
          <w:marBottom w:val="0"/>
          <w:divBdr>
            <w:top w:val="none" w:sz="0" w:space="0" w:color="auto"/>
            <w:left w:val="none" w:sz="0" w:space="0" w:color="auto"/>
            <w:bottom w:val="none" w:sz="0" w:space="0" w:color="auto"/>
            <w:right w:val="none" w:sz="0" w:space="0" w:color="auto"/>
          </w:divBdr>
        </w:div>
        <w:div w:id="1340811661">
          <w:marLeft w:val="360"/>
          <w:marRight w:val="0"/>
          <w:marTop w:val="0"/>
          <w:marBottom w:val="0"/>
          <w:divBdr>
            <w:top w:val="none" w:sz="0" w:space="0" w:color="auto"/>
            <w:left w:val="none" w:sz="0" w:space="0" w:color="auto"/>
            <w:bottom w:val="none" w:sz="0" w:space="0" w:color="auto"/>
            <w:right w:val="none" w:sz="0" w:space="0" w:color="auto"/>
          </w:divBdr>
        </w:div>
        <w:div w:id="935092323">
          <w:marLeft w:val="360"/>
          <w:marRight w:val="0"/>
          <w:marTop w:val="0"/>
          <w:marBottom w:val="0"/>
          <w:divBdr>
            <w:top w:val="none" w:sz="0" w:space="0" w:color="auto"/>
            <w:left w:val="none" w:sz="0" w:space="0" w:color="auto"/>
            <w:bottom w:val="none" w:sz="0" w:space="0" w:color="auto"/>
            <w:right w:val="none" w:sz="0" w:space="0" w:color="auto"/>
          </w:divBdr>
        </w:div>
        <w:div w:id="999893182">
          <w:marLeft w:val="360"/>
          <w:marRight w:val="0"/>
          <w:marTop w:val="0"/>
          <w:marBottom w:val="0"/>
          <w:divBdr>
            <w:top w:val="none" w:sz="0" w:space="0" w:color="auto"/>
            <w:left w:val="none" w:sz="0" w:space="0" w:color="auto"/>
            <w:bottom w:val="none" w:sz="0" w:space="0" w:color="auto"/>
            <w:right w:val="none" w:sz="0" w:space="0" w:color="auto"/>
          </w:divBdr>
        </w:div>
        <w:div w:id="311377407">
          <w:marLeft w:val="360"/>
          <w:marRight w:val="0"/>
          <w:marTop w:val="0"/>
          <w:marBottom w:val="0"/>
          <w:divBdr>
            <w:top w:val="none" w:sz="0" w:space="0" w:color="auto"/>
            <w:left w:val="none" w:sz="0" w:space="0" w:color="auto"/>
            <w:bottom w:val="none" w:sz="0" w:space="0" w:color="auto"/>
            <w:right w:val="none" w:sz="0" w:space="0" w:color="auto"/>
          </w:divBdr>
        </w:div>
        <w:div w:id="838738908">
          <w:marLeft w:val="360"/>
          <w:marRight w:val="0"/>
          <w:marTop w:val="0"/>
          <w:marBottom w:val="0"/>
          <w:divBdr>
            <w:top w:val="none" w:sz="0" w:space="0" w:color="auto"/>
            <w:left w:val="none" w:sz="0" w:space="0" w:color="auto"/>
            <w:bottom w:val="none" w:sz="0" w:space="0" w:color="auto"/>
            <w:right w:val="none" w:sz="0" w:space="0" w:color="auto"/>
          </w:divBdr>
        </w:div>
        <w:div w:id="1707098569">
          <w:marLeft w:val="360"/>
          <w:marRight w:val="0"/>
          <w:marTop w:val="0"/>
          <w:marBottom w:val="0"/>
          <w:divBdr>
            <w:top w:val="none" w:sz="0" w:space="0" w:color="auto"/>
            <w:left w:val="none" w:sz="0" w:space="0" w:color="auto"/>
            <w:bottom w:val="none" w:sz="0" w:space="0" w:color="auto"/>
            <w:right w:val="none" w:sz="0" w:space="0" w:color="auto"/>
          </w:divBdr>
        </w:div>
        <w:div w:id="1691107077">
          <w:marLeft w:val="360"/>
          <w:marRight w:val="0"/>
          <w:marTop w:val="0"/>
          <w:marBottom w:val="0"/>
          <w:divBdr>
            <w:top w:val="none" w:sz="0" w:space="0" w:color="auto"/>
            <w:left w:val="none" w:sz="0" w:space="0" w:color="auto"/>
            <w:bottom w:val="none" w:sz="0" w:space="0" w:color="auto"/>
            <w:right w:val="none" w:sz="0" w:space="0" w:color="auto"/>
          </w:divBdr>
        </w:div>
        <w:div w:id="1670013707">
          <w:marLeft w:val="360"/>
          <w:marRight w:val="0"/>
          <w:marTop w:val="0"/>
          <w:marBottom w:val="0"/>
          <w:divBdr>
            <w:top w:val="none" w:sz="0" w:space="0" w:color="auto"/>
            <w:left w:val="none" w:sz="0" w:space="0" w:color="auto"/>
            <w:bottom w:val="none" w:sz="0" w:space="0" w:color="auto"/>
            <w:right w:val="none" w:sz="0" w:space="0" w:color="auto"/>
          </w:divBdr>
        </w:div>
      </w:divsChild>
    </w:div>
    <w:div w:id="1433357484">
      <w:bodyDiv w:val="1"/>
      <w:marLeft w:val="0"/>
      <w:marRight w:val="0"/>
      <w:marTop w:val="0"/>
      <w:marBottom w:val="0"/>
      <w:divBdr>
        <w:top w:val="none" w:sz="0" w:space="0" w:color="auto"/>
        <w:left w:val="none" w:sz="0" w:space="0" w:color="auto"/>
        <w:bottom w:val="none" w:sz="0" w:space="0" w:color="auto"/>
        <w:right w:val="none" w:sz="0" w:space="0" w:color="auto"/>
      </w:divBdr>
    </w:div>
    <w:div w:id="1441338732">
      <w:bodyDiv w:val="1"/>
      <w:marLeft w:val="0"/>
      <w:marRight w:val="0"/>
      <w:marTop w:val="0"/>
      <w:marBottom w:val="0"/>
      <w:divBdr>
        <w:top w:val="none" w:sz="0" w:space="0" w:color="auto"/>
        <w:left w:val="none" w:sz="0" w:space="0" w:color="auto"/>
        <w:bottom w:val="none" w:sz="0" w:space="0" w:color="auto"/>
        <w:right w:val="none" w:sz="0" w:space="0" w:color="auto"/>
      </w:divBdr>
    </w:div>
    <w:div w:id="1454400395">
      <w:bodyDiv w:val="1"/>
      <w:marLeft w:val="0"/>
      <w:marRight w:val="0"/>
      <w:marTop w:val="0"/>
      <w:marBottom w:val="0"/>
      <w:divBdr>
        <w:top w:val="none" w:sz="0" w:space="0" w:color="auto"/>
        <w:left w:val="none" w:sz="0" w:space="0" w:color="auto"/>
        <w:bottom w:val="none" w:sz="0" w:space="0" w:color="auto"/>
        <w:right w:val="none" w:sz="0" w:space="0" w:color="auto"/>
      </w:divBdr>
    </w:div>
    <w:div w:id="1469325166">
      <w:bodyDiv w:val="1"/>
      <w:marLeft w:val="0"/>
      <w:marRight w:val="0"/>
      <w:marTop w:val="0"/>
      <w:marBottom w:val="0"/>
      <w:divBdr>
        <w:top w:val="none" w:sz="0" w:space="0" w:color="auto"/>
        <w:left w:val="none" w:sz="0" w:space="0" w:color="auto"/>
        <w:bottom w:val="none" w:sz="0" w:space="0" w:color="auto"/>
        <w:right w:val="none" w:sz="0" w:space="0" w:color="auto"/>
      </w:divBdr>
    </w:div>
    <w:div w:id="1474251321">
      <w:bodyDiv w:val="1"/>
      <w:marLeft w:val="0"/>
      <w:marRight w:val="0"/>
      <w:marTop w:val="0"/>
      <w:marBottom w:val="0"/>
      <w:divBdr>
        <w:top w:val="none" w:sz="0" w:space="0" w:color="auto"/>
        <w:left w:val="none" w:sz="0" w:space="0" w:color="auto"/>
        <w:bottom w:val="none" w:sz="0" w:space="0" w:color="auto"/>
        <w:right w:val="none" w:sz="0" w:space="0" w:color="auto"/>
      </w:divBdr>
    </w:div>
    <w:div w:id="1478760559">
      <w:bodyDiv w:val="1"/>
      <w:marLeft w:val="0"/>
      <w:marRight w:val="0"/>
      <w:marTop w:val="0"/>
      <w:marBottom w:val="0"/>
      <w:divBdr>
        <w:top w:val="none" w:sz="0" w:space="0" w:color="auto"/>
        <w:left w:val="none" w:sz="0" w:space="0" w:color="auto"/>
        <w:bottom w:val="none" w:sz="0" w:space="0" w:color="auto"/>
        <w:right w:val="none" w:sz="0" w:space="0" w:color="auto"/>
      </w:divBdr>
    </w:div>
    <w:div w:id="1508709785">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8449393">
      <w:bodyDiv w:val="1"/>
      <w:marLeft w:val="0"/>
      <w:marRight w:val="0"/>
      <w:marTop w:val="0"/>
      <w:marBottom w:val="0"/>
      <w:divBdr>
        <w:top w:val="none" w:sz="0" w:space="0" w:color="auto"/>
        <w:left w:val="none" w:sz="0" w:space="0" w:color="auto"/>
        <w:bottom w:val="none" w:sz="0" w:space="0" w:color="auto"/>
        <w:right w:val="none" w:sz="0" w:space="0" w:color="auto"/>
      </w:divBdr>
    </w:div>
    <w:div w:id="1552574373">
      <w:bodyDiv w:val="1"/>
      <w:marLeft w:val="0"/>
      <w:marRight w:val="0"/>
      <w:marTop w:val="0"/>
      <w:marBottom w:val="0"/>
      <w:divBdr>
        <w:top w:val="none" w:sz="0" w:space="0" w:color="auto"/>
        <w:left w:val="none" w:sz="0" w:space="0" w:color="auto"/>
        <w:bottom w:val="none" w:sz="0" w:space="0" w:color="auto"/>
        <w:right w:val="none" w:sz="0" w:space="0" w:color="auto"/>
      </w:divBdr>
    </w:div>
    <w:div w:id="1575698014">
      <w:bodyDiv w:val="1"/>
      <w:marLeft w:val="0"/>
      <w:marRight w:val="0"/>
      <w:marTop w:val="0"/>
      <w:marBottom w:val="0"/>
      <w:divBdr>
        <w:top w:val="none" w:sz="0" w:space="0" w:color="auto"/>
        <w:left w:val="none" w:sz="0" w:space="0" w:color="auto"/>
        <w:bottom w:val="none" w:sz="0" w:space="0" w:color="auto"/>
        <w:right w:val="none" w:sz="0" w:space="0" w:color="auto"/>
      </w:divBdr>
    </w:div>
    <w:div w:id="1612207798">
      <w:bodyDiv w:val="1"/>
      <w:marLeft w:val="0"/>
      <w:marRight w:val="0"/>
      <w:marTop w:val="0"/>
      <w:marBottom w:val="0"/>
      <w:divBdr>
        <w:top w:val="none" w:sz="0" w:space="0" w:color="auto"/>
        <w:left w:val="none" w:sz="0" w:space="0" w:color="auto"/>
        <w:bottom w:val="none" w:sz="0" w:space="0" w:color="auto"/>
        <w:right w:val="none" w:sz="0" w:space="0" w:color="auto"/>
      </w:divBdr>
    </w:div>
    <w:div w:id="1626427265">
      <w:bodyDiv w:val="1"/>
      <w:marLeft w:val="0"/>
      <w:marRight w:val="0"/>
      <w:marTop w:val="0"/>
      <w:marBottom w:val="0"/>
      <w:divBdr>
        <w:top w:val="none" w:sz="0" w:space="0" w:color="auto"/>
        <w:left w:val="none" w:sz="0" w:space="0" w:color="auto"/>
        <w:bottom w:val="none" w:sz="0" w:space="0" w:color="auto"/>
        <w:right w:val="none" w:sz="0" w:space="0" w:color="auto"/>
      </w:divBdr>
    </w:div>
    <w:div w:id="1628317718">
      <w:bodyDiv w:val="1"/>
      <w:marLeft w:val="0"/>
      <w:marRight w:val="0"/>
      <w:marTop w:val="0"/>
      <w:marBottom w:val="0"/>
      <w:divBdr>
        <w:top w:val="none" w:sz="0" w:space="0" w:color="auto"/>
        <w:left w:val="none" w:sz="0" w:space="0" w:color="auto"/>
        <w:bottom w:val="none" w:sz="0" w:space="0" w:color="auto"/>
        <w:right w:val="none" w:sz="0" w:space="0" w:color="auto"/>
      </w:divBdr>
    </w:div>
    <w:div w:id="1651474260">
      <w:bodyDiv w:val="1"/>
      <w:marLeft w:val="0"/>
      <w:marRight w:val="0"/>
      <w:marTop w:val="0"/>
      <w:marBottom w:val="0"/>
      <w:divBdr>
        <w:top w:val="none" w:sz="0" w:space="0" w:color="auto"/>
        <w:left w:val="none" w:sz="0" w:space="0" w:color="auto"/>
        <w:bottom w:val="none" w:sz="0" w:space="0" w:color="auto"/>
        <w:right w:val="none" w:sz="0" w:space="0" w:color="auto"/>
      </w:divBdr>
    </w:div>
    <w:div w:id="1653408552">
      <w:bodyDiv w:val="1"/>
      <w:marLeft w:val="0"/>
      <w:marRight w:val="0"/>
      <w:marTop w:val="0"/>
      <w:marBottom w:val="0"/>
      <w:divBdr>
        <w:top w:val="none" w:sz="0" w:space="0" w:color="auto"/>
        <w:left w:val="none" w:sz="0" w:space="0" w:color="auto"/>
        <w:bottom w:val="none" w:sz="0" w:space="0" w:color="auto"/>
        <w:right w:val="none" w:sz="0" w:space="0" w:color="auto"/>
      </w:divBdr>
    </w:div>
    <w:div w:id="1711766137">
      <w:bodyDiv w:val="1"/>
      <w:marLeft w:val="0"/>
      <w:marRight w:val="0"/>
      <w:marTop w:val="0"/>
      <w:marBottom w:val="0"/>
      <w:divBdr>
        <w:top w:val="none" w:sz="0" w:space="0" w:color="auto"/>
        <w:left w:val="none" w:sz="0" w:space="0" w:color="auto"/>
        <w:bottom w:val="none" w:sz="0" w:space="0" w:color="auto"/>
        <w:right w:val="none" w:sz="0" w:space="0" w:color="auto"/>
      </w:divBdr>
    </w:div>
    <w:div w:id="1747528861">
      <w:bodyDiv w:val="1"/>
      <w:marLeft w:val="0"/>
      <w:marRight w:val="0"/>
      <w:marTop w:val="0"/>
      <w:marBottom w:val="0"/>
      <w:divBdr>
        <w:top w:val="none" w:sz="0" w:space="0" w:color="auto"/>
        <w:left w:val="none" w:sz="0" w:space="0" w:color="auto"/>
        <w:bottom w:val="none" w:sz="0" w:space="0" w:color="auto"/>
        <w:right w:val="none" w:sz="0" w:space="0" w:color="auto"/>
      </w:divBdr>
    </w:div>
    <w:div w:id="1922325221">
      <w:bodyDiv w:val="1"/>
      <w:marLeft w:val="0"/>
      <w:marRight w:val="0"/>
      <w:marTop w:val="0"/>
      <w:marBottom w:val="0"/>
      <w:divBdr>
        <w:top w:val="none" w:sz="0" w:space="0" w:color="auto"/>
        <w:left w:val="none" w:sz="0" w:space="0" w:color="auto"/>
        <w:bottom w:val="none" w:sz="0" w:space="0" w:color="auto"/>
        <w:right w:val="none" w:sz="0" w:space="0" w:color="auto"/>
      </w:divBdr>
    </w:div>
    <w:div w:id="1927962045">
      <w:bodyDiv w:val="1"/>
      <w:marLeft w:val="0"/>
      <w:marRight w:val="0"/>
      <w:marTop w:val="0"/>
      <w:marBottom w:val="0"/>
      <w:divBdr>
        <w:top w:val="none" w:sz="0" w:space="0" w:color="auto"/>
        <w:left w:val="none" w:sz="0" w:space="0" w:color="auto"/>
        <w:bottom w:val="none" w:sz="0" w:space="0" w:color="auto"/>
        <w:right w:val="none" w:sz="0" w:space="0" w:color="auto"/>
      </w:divBdr>
      <w:divsChild>
        <w:div w:id="4017607">
          <w:marLeft w:val="274"/>
          <w:marRight w:val="0"/>
          <w:marTop w:val="0"/>
          <w:marBottom w:val="0"/>
          <w:divBdr>
            <w:top w:val="none" w:sz="0" w:space="0" w:color="auto"/>
            <w:left w:val="none" w:sz="0" w:space="0" w:color="auto"/>
            <w:bottom w:val="none" w:sz="0" w:space="0" w:color="auto"/>
            <w:right w:val="none" w:sz="0" w:space="0" w:color="auto"/>
          </w:divBdr>
        </w:div>
        <w:div w:id="1182203932">
          <w:marLeft w:val="274"/>
          <w:marRight w:val="0"/>
          <w:marTop w:val="0"/>
          <w:marBottom w:val="0"/>
          <w:divBdr>
            <w:top w:val="none" w:sz="0" w:space="0" w:color="auto"/>
            <w:left w:val="none" w:sz="0" w:space="0" w:color="auto"/>
            <w:bottom w:val="none" w:sz="0" w:space="0" w:color="auto"/>
            <w:right w:val="none" w:sz="0" w:space="0" w:color="auto"/>
          </w:divBdr>
        </w:div>
        <w:div w:id="81147519">
          <w:marLeft w:val="274"/>
          <w:marRight w:val="0"/>
          <w:marTop w:val="0"/>
          <w:marBottom w:val="0"/>
          <w:divBdr>
            <w:top w:val="none" w:sz="0" w:space="0" w:color="auto"/>
            <w:left w:val="none" w:sz="0" w:space="0" w:color="auto"/>
            <w:bottom w:val="none" w:sz="0" w:space="0" w:color="auto"/>
            <w:right w:val="none" w:sz="0" w:space="0" w:color="auto"/>
          </w:divBdr>
        </w:div>
        <w:div w:id="1716270073">
          <w:marLeft w:val="274"/>
          <w:marRight w:val="0"/>
          <w:marTop w:val="0"/>
          <w:marBottom w:val="0"/>
          <w:divBdr>
            <w:top w:val="none" w:sz="0" w:space="0" w:color="auto"/>
            <w:left w:val="none" w:sz="0" w:space="0" w:color="auto"/>
            <w:bottom w:val="none" w:sz="0" w:space="0" w:color="auto"/>
            <w:right w:val="none" w:sz="0" w:space="0" w:color="auto"/>
          </w:divBdr>
        </w:div>
        <w:div w:id="1214073357">
          <w:marLeft w:val="274"/>
          <w:marRight w:val="0"/>
          <w:marTop w:val="0"/>
          <w:marBottom w:val="0"/>
          <w:divBdr>
            <w:top w:val="none" w:sz="0" w:space="0" w:color="auto"/>
            <w:left w:val="none" w:sz="0" w:space="0" w:color="auto"/>
            <w:bottom w:val="none" w:sz="0" w:space="0" w:color="auto"/>
            <w:right w:val="none" w:sz="0" w:space="0" w:color="auto"/>
          </w:divBdr>
        </w:div>
        <w:div w:id="259873064">
          <w:marLeft w:val="274"/>
          <w:marRight w:val="0"/>
          <w:marTop w:val="0"/>
          <w:marBottom w:val="0"/>
          <w:divBdr>
            <w:top w:val="none" w:sz="0" w:space="0" w:color="auto"/>
            <w:left w:val="none" w:sz="0" w:space="0" w:color="auto"/>
            <w:bottom w:val="none" w:sz="0" w:space="0" w:color="auto"/>
            <w:right w:val="none" w:sz="0" w:space="0" w:color="auto"/>
          </w:divBdr>
        </w:div>
      </w:divsChild>
    </w:div>
    <w:div w:id="1945457617">
      <w:bodyDiv w:val="1"/>
      <w:marLeft w:val="0"/>
      <w:marRight w:val="0"/>
      <w:marTop w:val="0"/>
      <w:marBottom w:val="0"/>
      <w:divBdr>
        <w:top w:val="none" w:sz="0" w:space="0" w:color="auto"/>
        <w:left w:val="none" w:sz="0" w:space="0" w:color="auto"/>
        <w:bottom w:val="none" w:sz="0" w:space="0" w:color="auto"/>
        <w:right w:val="none" w:sz="0" w:space="0" w:color="auto"/>
      </w:divBdr>
      <w:divsChild>
        <w:div w:id="1157645090">
          <w:marLeft w:val="994"/>
          <w:marRight w:val="0"/>
          <w:marTop w:val="0"/>
          <w:marBottom w:val="0"/>
          <w:divBdr>
            <w:top w:val="none" w:sz="0" w:space="0" w:color="auto"/>
            <w:left w:val="none" w:sz="0" w:space="0" w:color="auto"/>
            <w:bottom w:val="none" w:sz="0" w:space="0" w:color="auto"/>
            <w:right w:val="none" w:sz="0" w:space="0" w:color="auto"/>
          </w:divBdr>
        </w:div>
        <w:div w:id="506940408">
          <w:marLeft w:val="994"/>
          <w:marRight w:val="0"/>
          <w:marTop w:val="0"/>
          <w:marBottom w:val="0"/>
          <w:divBdr>
            <w:top w:val="none" w:sz="0" w:space="0" w:color="auto"/>
            <w:left w:val="none" w:sz="0" w:space="0" w:color="auto"/>
            <w:bottom w:val="none" w:sz="0" w:space="0" w:color="auto"/>
            <w:right w:val="none" w:sz="0" w:space="0" w:color="auto"/>
          </w:divBdr>
        </w:div>
        <w:div w:id="1237087610">
          <w:marLeft w:val="994"/>
          <w:marRight w:val="0"/>
          <w:marTop w:val="0"/>
          <w:marBottom w:val="0"/>
          <w:divBdr>
            <w:top w:val="none" w:sz="0" w:space="0" w:color="auto"/>
            <w:left w:val="none" w:sz="0" w:space="0" w:color="auto"/>
            <w:bottom w:val="none" w:sz="0" w:space="0" w:color="auto"/>
            <w:right w:val="none" w:sz="0" w:space="0" w:color="auto"/>
          </w:divBdr>
        </w:div>
      </w:divsChild>
    </w:div>
    <w:div w:id="1971471299">
      <w:bodyDiv w:val="1"/>
      <w:marLeft w:val="0"/>
      <w:marRight w:val="0"/>
      <w:marTop w:val="0"/>
      <w:marBottom w:val="0"/>
      <w:divBdr>
        <w:top w:val="none" w:sz="0" w:space="0" w:color="auto"/>
        <w:left w:val="none" w:sz="0" w:space="0" w:color="auto"/>
        <w:bottom w:val="none" w:sz="0" w:space="0" w:color="auto"/>
        <w:right w:val="none" w:sz="0" w:space="0" w:color="auto"/>
      </w:divBdr>
    </w:div>
    <w:div w:id="1990859405">
      <w:bodyDiv w:val="1"/>
      <w:marLeft w:val="0"/>
      <w:marRight w:val="0"/>
      <w:marTop w:val="0"/>
      <w:marBottom w:val="0"/>
      <w:divBdr>
        <w:top w:val="none" w:sz="0" w:space="0" w:color="auto"/>
        <w:left w:val="none" w:sz="0" w:space="0" w:color="auto"/>
        <w:bottom w:val="none" w:sz="0" w:space="0" w:color="auto"/>
        <w:right w:val="none" w:sz="0" w:space="0" w:color="auto"/>
      </w:divBdr>
    </w:div>
    <w:div w:id="2034843575">
      <w:bodyDiv w:val="1"/>
      <w:marLeft w:val="0"/>
      <w:marRight w:val="0"/>
      <w:marTop w:val="0"/>
      <w:marBottom w:val="0"/>
      <w:divBdr>
        <w:top w:val="none" w:sz="0" w:space="0" w:color="auto"/>
        <w:left w:val="none" w:sz="0" w:space="0" w:color="auto"/>
        <w:bottom w:val="none" w:sz="0" w:space="0" w:color="auto"/>
        <w:right w:val="none" w:sz="0" w:space="0" w:color="auto"/>
      </w:divBdr>
    </w:div>
    <w:div w:id="2098164663">
      <w:bodyDiv w:val="1"/>
      <w:marLeft w:val="0"/>
      <w:marRight w:val="0"/>
      <w:marTop w:val="0"/>
      <w:marBottom w:val="0"/>
      <w:divBdr>
        <w:top w:val="none" w:sz="0" w:space="0" w:color="auto"/>
        <w:left w:val="none" w:sz="0" w:space="0" w:color="auto"/>
        <w:bottom w:val="none" w:sz="0" w:space="0" w:color="auto"/>
        <w:right w:val="none" w:sz="0" w:space="0" w:color="auto"/>
      </w:divBdr>
    </w:div>
    <w:div w:id="2099674657">
      <w:bodyDiv w:val="1"/>
      <w:marLeft w:val="0"/>
      <w:marRight w:val="0"/>
      <w:marTop w:val="0"/>
      <w:marBottom w:val="0"/>
      <w:divBdr>
        <w:top w:val="none" w:sz="0" w:space="0" w:color="auto"/>
        <w:left w:val="none" w:sz="0" w:space="0" w:color="auto"/>
        <w:bottom w:val="none" w:sz="0" w:space="0" w:color="auto"/>
        <w:right w:val="none" w:sz="0" w:space="0" w:color="auto"/>
      </w:divBdr>
    </w:div>
    <w:div w:id="2126583527">
      <w:bodyDiv w:val="1"/>
      <w:marLeft w:val="0"/>
      <w:marRight w:val="0"/>
      <w:marTop w:val="0"/>
      <w:marBottom w:val="0"/>
      <w:divBdr>
        <w:top w:val="none" w:sz="0" w:space="0" w:color="auto"/>
        <w:left w:val="none" w:sz="0" w:space="0" w:color="auto"/>
        <w:bottom w:val="none" w:sz="0" w:space="0" w:color="auto"/>
        <w:right w:val="none" w:sz="0" w:space="0" w:color="auto"/>
      </w:divBdr>
    </w:div>
    <w:div w:id="2130661789">
      <w:bodyDiv w:val="1"/>
      <w:marLeft w:val="0"/>
      <w:marRight w:val="0"/>
      <w:marTop w:val="0"/>
      <w:marBottom w:val="0"/>
      <w:divBdr>
        <w:top w:val="none" w:sz="0" w:space="0" w:color="auto"/>
        <w:left w:val="none" w:sz="0" w:space="0" w:color="auto"/>
        <w:bottom w:val="none" w:sz="0" w:space="0" w:color="auto"/>
        <w:right w:val="none" w:sz="0" w:space="0" w:color="auto"/>
      </w:divBdr>
    </w:div>
    <w:div w:id="2131899644">
      <w:bodyDiv w:val="1"/>
      <w:marLeft w:val="0"/>
      <w:marRight w:val="0"/>
      <w:marTop w:val="0"/>
      <w:marBottom w:val="0"/>
      <w:divBdr>
        <w:top w:val="none" w:sz="0" w:space="0" w:color="auto"/>
        <w:left w:val="none" w:sz="0" w:space="0" w:color="auto"/>
        <w:bottom w:val="none" w:sz="0" w:space="0" w:color="auto"/>
        <w:right w:val="none" w:sz="0" w:space="0" w:color="auto"/>
      </w:divBdr>
    </w:div>
    <w:div w:id="2134707486">
      <w:bodyDiv w:val="1"/>
      <w:marLeft w:val="0"/>
      <w:marRight w:val="0"/>
      <w:marTop w:val="0"/>
      <w:marBottom w:val="0"/>
      <w:divBdr>
        <w:top w:val="none" w:sz="0" w:space="0" w:color="auto"/>
        <w:left w:val="none" w:sz="0" w:space="0" w:color="auto"/>
        <w:bottom w:val="none" w:sz="0" w:space="0" w:color="auto"/>
        <w:right w:val="none" w:sz="0" w:space="0" w:color="auto"/>
      </w:divBdr>
      <w:divsChild>
        <w:div w:id="1058626938">
          <w:marLeft w:val="0"/>
          <w:marRight w:val="0"/>
          <w:marTop w:val="0"/>
          <w:marBottom w:val="0"/>
          <w:divBdr>
            <w:top w:val="none" w:sz="0" w:space="0" w:color="auto"/>
            <w:left w:val="none" w:sz="0" w:space="0" w:color="auto"/>
            <w:bottom w:val="none" w:sz="0" w:space="0" w:color="auto"/>
            <w:right w:val="none" w:sz="0" w:space="0" w:color="auto"/>
          </w:divBdr>
        </w:div>
        <w:div w:id="449204336">
          <w:marLeft w:val="0"/>
          <w:marRight w:val="0"/>
          <w:marTop w:val="0"/>
          <w:marBottom w:val="0"/>
          <w:divBdr>
            <w:top w:val="none" w:sz="0" w:space="0" w:color="auto"/>
            <w:left w:val="none" w:sz="0" w:space="0" w:color="auto"/>
            <w:bottom w:val="none" w:sz="0" w:space="0" w:color="auto"/>
            <w:right w:val="none" w:sz="0" w:space="0" w:color="auto"/>
          </w:divBdr>
          <w:divsChild>
            <w:div w:id="1193030213">
              <w:marLeft w:val="0"/>
              <w:marRight w:val="0"/>
              <w:marTop w:val="0"/>
              <w:marBottom w:val="0"/>
              <w:divBdr>
                <w:top w:val="none" w:sz="0" w:space="0" w:color="auto"/>
                <w:left w:val="none" w:sz="0" w:space="0" w:color="auto"/>
                <w:bottom w:val="none" w:sz="0" w:space="0" w:color="auto"/>
                <w:right w:val="none" w:sz="0" w:space="0" w:color="auto"/>
              </w:divBdr>
              <w:divsChild>
                <w:div w:id="1793132479">
                  <w:marLeft w:val="0"/>
                  <w:marRight w:val="0"/>
                  <w:marTop w:val="0"/>
                  <w:marBottom w:val="0"/>
                  <w:divBdr>
                    <w:top w:val="none" w:sz="0" w:space="0" w:color="auto"/>
                    <w:left w:val="none" w:sz="0" w:space="0" w:color="auto"/>
                    <w:bottom w:val="none" w:sz="0" w:space="0" w:color="auto"/>
                    <w:right w:val="none" w:sz="0" w:space="0" w:color="auto"/>
                  </w:divBdr>
                  <w:divsChild>
                    <w:div w:id="1759405162">
                      <w:marLeft w:val="0"/>
                      <w:marRight w:val="0"/>
                      <w:marTop w:val="0"/>
                      <w:marBottom w:val="0"/>
                      <w:divBdr>
                        <w:top w:val="none" w:sz="0" w:space="0" w:color="auto"/>
                        <w:left w:val="none" w:sz="0" w:space="0" w:color="auto"/>
                        <w:bottom w:val="none" w:sz="0" w:space="0" w:color="auto"/>
                        <w:right w:val="none" w:sz="0" w:space="0" w:color="auto"/>
                      </w:divBdr>
                      <w:divsChild>
                        <w:div w:id="251083893">
                          <w:marLeft w:val="0"/>
                          <w:marRight w:val="0"/>
                          <w:marTop w:val="0"/>
                          <w:marBottom w:val="0"/>
                          <w:divBdr>
                            <w:top w:val="none" w:sz="0" w:space="0" w:color="auto"/>
                            <w:left w:val="none" w:sz="0" w:space="0" w:color="auto"/>
                            <w:bottom w:val="none" w:sz="0" w:space="0" w:color="auto"/>
                            <w:right w:val="none" w:sz="0" w:space="0" w:color="auto"/>
                          </w:divBdr>
                          <w:divsChild>
                            <w:div w:id="500388270">
                              <w:marLeft w:val="0"/>
                              <w:marRight w:val="0"/>
                              <w:marTop w:val="0"/>
                              <w:marBottom w:val="0"/>
                              <w:divBdr>
                                <w:top w:val="none" w:sz="0" w:space="0" w:color="auto"/>
                                <w:left w:val="none" w:sz="0" w:space="0" w:color="auto"/>
                                <w:bottom w:val="none" w:sz="0" w:space="0" w:color="auto"/>
                                <w:right w:val="none" w:sz="0" w:space="0" w:color="auto"/>
                              </w:divBdr>
                              <w:divsChild>
                                <w:div w:id="696348087">
                                  <w:marLeft w:val="0"/>
                                  <w:marRight w:val="0"/>
                                  <w:marTop w:val="0"/>
                                  <w:marBottom w:val="0"/>
                                  <w:divBdr>
                                    <w:top w:val="none" w:sz="0" w:space="0" w:color="auto"/>
                                    <w:left w:val="none" w:sz="0" w:space="0" w:color="auto"/>
                                    <w:bottom w:val="none" w:sz="0" w:space="0" w:color="auto"/>
                                    <w:right w:val="none" w:sz="0" w:space="0" w:color="auto"/>
                                  </w:divBdr>
                                  <w:divsChild>
                                    <w:div w:id="1223560214">
                                      <w:marLeft w:val="0"/>
                                      <w:marRight w:val="0"/>
                                      <w:marTop w:val="0"/>
                                      <w:marBottom w:val="0"/>
                                      <w:divBdr>
                                        <w:top w:val="none" w:sz="0" w:space="0" w:color="auto"/>
                                        <w:left w:val="none" w:sz="0" w:space="0" w:color="auto"/>
                                        <w:bottom w:val="none" w:sz="0" w:space="0" w:color="auto"/>
                                        <w:right w:val="none" w:sz="0" w:space="0" w:color="auto"/>
                                      </w:divBdr>
                                      <w:divsChild>
                                        <w:div w:id="1746607248">
                                          <w:marLeft w:val="0"/>
                                          <w:marRight w:val="0"/>
                                          <w:marTop w:val="0"/>
                                          <w:marBottom w:val="0"/>
                                          <w:divBdr>
                                            <w:top w:val="none" w:sz="0" w:space="0" w:color="auto"/>
                                            <w:left w:val="none" w:sz="0" w:space="0" w:color="auto"/>
                                            <w:bottom w:val="none" w:sz="0" w:space="0" w:color="auto"/>
                                            <w:right w:val="none" w:sz="0" w:space="0" w:color="auto"/>
                                          </w:divBdr>
                                          <w:divsChild>
                                            <w:div w:id="1713269747">
                                              <w:marLeft w:val="0"/>
                                              <w:marRight w:val="0"/>
                                              <w:marTop w:val="0"/>
                                              <w:marBottom w:val="0"/>
                                              <w:divBdr>
                                                <w:top w:val="none" w:sz="0" w:space="0" w:color="auto"/>
                                                <w:left w:val="none" w:sz="0" w:space="0" w:color="auto"/>
                                                <w:bottom w:val="none" w:sz="0" w:space="0" w:color="auto"/>
                                                <w:right w:val="none" w:sz="0" w:space="0" w:color="auto"/>
                                              </w:divBdr>
                                              <w:divsChild>
                                                <w:div w:id="108595740">
                                                  <w:marLeft w:val="0"/>
                                                  <w:marRight w:val="0"/>
                                                  <w:marTop w:val="0"/>
                                                  <w:marBottom w:val="0"/>
                                                  <w:divBdr>
                                                    <w:top w:val="none" w:sz="0" w:space="0" w:color="auto"/>
                                                    <w:left w:val="none" w:sz="0" w:space="0" w:color="auto"/>
                                                    <w:bottom w:val="none" w:sz="0" w:space="0" w:color="auto"/>
                                                    <w:right w:val="none" w:sz="0" w:space="0" w:color="auto"/>
                                                  </w:divBdr>
                                                  <w:divsChild>
                                                    <w:div w:id="440799937">
                                                      <w:marLeft w:val="0"/>
                                                      <w:marRight w:val="0"/>
                                                      <w:marTop w:val="0"/>
                                                      <w:marBottom w:val="0"/>
                                                      <w:divBdr>
                                                        <w:top w:val="none" w:sz="0" w:space="0" w:color="auto"/>
                                                        <w:left w:val="none" w:sz="0" w:space="0" w:color="auto"/>
                                                        <w:bottom w:val="none" w:sz="0" w:space="0" w:color="auto"/>
                                                        <w:right w:val="none" w:sz="0" w:space="0" w:color="auto"/>
                                                      </w:divBdr>
                                                      <w:divsChild>
                                                        <w:div w:id="9571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chart" Target="charts/chart3.xml"/></Relationships>
</file>

<file path=word/_rels/footer2.xml.rels><?xml version="1.0" encoding="UTF-8" standalone="yes"?>
<Relationships xmlns="http://schemas.openxmlformats.org/package/2006/relationships"><Relationship Id="rId1" Type="http://schemas.openxmlformats.org/officeDocument/2006/relationships/hyperlink" Target="http://www.dbhds.virginia.gov"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Individuals Who Received Services in FY 2022</a:t>
            </a:r>
          </a:p>
        </c:rich>
      </c:tx>
      <c:layout>
        <c:manualLayout>
          <c:xMode val="edge"/>
          <c:yMode val="edge"/>
          <c:x val="0.128798493827847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403411146044905"/>
          <c:y val="0.18992285246790575"/>
          <c:w val="0.32241469816272966"/>
          <c:h val="0.65911408316917286"/>
        </c:manualLayout>
      </c:layout>
      <c:pieChart>
        <c:varyColors val="1"/>
        <c:ser>
          <c:idx val="0"/>
          <c:order val="0"/>
          <c:tx>
            <c:strRef>
              <c:f>Sheet1!$B$1</c:f>
              <c:strCache>
                <c:ptCount val="1"/>
                <c:pt idx="0">
                  <c:v>Individuals Served in FY 2022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AFD-430A-B3A0-5AD25F016DA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AFD-430A-B3A0-5AD25F016DA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AFD-430A-B3A0-5AD25F016DA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AFD-430A-B3A0-5AD25F016DA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AFD-430A-B3A0-5AD25F016DA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AFD-430A-B3A0-5AD25F016DA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AFD-430A-B3A0-5AD25F016DA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AFD-430A-B3A0-5AD25F016DAA}"/>
              </c:ext>
            </c:extLst>
          </c:dPt>
          <c:dLbls>
            <c:dLbl>
              <c:idx val="0"/>
              <c:layout>
                <c:manualLayout>
                  <c:x val="-0.24852285690437106"/>
                  <c:y val="-2.3259914567025698E-3"/>
                </c:manualLayout>
              </c:layout>
              <c:tx>
                <c:rich>
                  <a:bodyPr/>
                  <a:lstStyle/>
                  <a:p>
                    <a:fld id="{84C71370-D2DA-49D9-92A9-B040890A23E8}" type="CATEGORYNAME">
                      <a:rPr lang="en-US"/>
                      <a:pPr/>
                      <a:t>[CATEGORY NAME]</a:t>
                    </a:fld>
                    <a:r>
                      <a:rPr lang="en-US" baseline="0"/>
                      <a:t>, </a:t>
                    </a:r>
                    <a:fld id="{8E6B8878-B64E-46FC-98EC-1A0421041FFB}" type="VALUE">
                      <a:rPr lang="en-US" baseline="0"/>
                      <a:pPr/>
                      <a:t>[VALUE]</a:t>
                    </a:fld>
                    <a:r>
                      <a:rPr lang="en-US" baseline="0"/>
                      <a:t>, </a:t>
                    </a:r>
                    <a:br>
                      <a:rPr lang="en-US" baseline="0"/>
                    </a:br>
                    <a:fld id="{BBC8951C-B0B0-4C8B-96D5-A955769FC237}"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AFD-430A-B3A0-5AD25F016DAA}"/>
                </c:ext>
              </c:extLst>
            </c:dLbl>
            <c:dLbl>
              <c:idx val="1"/>
              <c:layout>
                <c:manualLayout>
                  <c:x val="-5.5053374511931603E-2"/>
                  <c:y val="-2.2182996448825028E-3"/>
                </c:manualLayout>
              </c:layout>
              <c:tx>
                <c:rich>
                  <a:bodyPr/>
                  <a:lstStyle/>
                  <a:p>
                    <a:fld id="{A4AE20A8-ECFB-4A38-83F3-490C8ACB9CF2}" type="CATEGORYNAME">
                      <a:rPr lang="en-US"/>
                      <a:pPr/>
                      <a:t>[CATEGORY NAME]</a:t>
                    </a:fld>
                    <a:r>
                      <a:rPr lang="en-US" baseline="0"/>
                      <a:t>, </a:t>
                    </a:r>
                    <a:fld id="{77441B8A-010C-4F88-8618-8B0F9DAF11ED}" type="VALUE">
                      <a:rPr lang="en-US" baseline="0"/>
                      <a:pPr/>
                      <a:t>[VALUE]</a:t>
                    </a:fld>
                    <a:r>
                      <a:rPr lang="en-US" baseline="0"/>
                      <a:t>, </a:t>
                    </a:r>
                    <a:br>
                      <a:rPr lang="en-US" baseline="0"/>
                    </a:br>
                    <a:fld id="{A2AFA73E-6A62-40F8-B371-38E9126A162C}"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AFD-430A-B3A0-5AD25F016DAA}"/>
                </c:ext>
              </c:extLst>
            </c:dLbl>
            <c:dLbl>
              <c:idx val="2"/>
              <c:layout>
                <c:manualLayout>
                  <c:x val="3.8253990336013649E-2"/>
                  <c:y val="5.559286427987737E-2"/>
                </c:manualLayout>
              </c:layout>
              <c:tx>
                <c:rich>
                  <a:bodyPr/>
                  <a:lstStyle/>
                  <a:p>
                    <a:fld id="{1799A262-F7B8-4261-AFC6-F2CEF511B15B}" type="CATEGORYNAME">
                      <a:rPr lang="en-US"/>
                      <a:pPr/>
                      <a:t>[CATEGORY NAME]</a:t>
                    </a:fld>
                    <a:r>
                      <a:rPr lang="en-US" baseline="0"/>
                      <a:t>, </a:t>
                    </a:r>
                    <a:fld id="{4524F237-48A7-437C-A59C-6C1E8B2A7FCE}" type="VALUE">
                      <a:rPr lang="en-US" baseline="0"/>
                      <a:pPr/>
                      <a:t>[VALUE]</a:t>
                    </a:fld>
                    <a:r>
                      <a:rPr lang="en-US" baseline="0"/>
                      <a:t>, </a:t>
                    </a:r>
                    <a:br>
                      <a:rPr lang="en-US" baseline="0"/>
                    </a:br>
                    <a:fld id="{F4ACA75A-49C0-481A-AFCE-D3205FD5E3F4}"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AFD-430A-B3A0-5AD25F016DAA}"/>
                </c:ext>
              </c:extLst>
            </c:dLbl>
            <c:dLbl>
              <c:idx val="3"/>
              <c:layout>
                <c:manualLayout>
                  <c:x val="0.17525611418714004"/>
                  <c:y val="-0.10095614402642242"/>
                </c:manualLayout>
              </c:layout>
              <c:tx>
                <c:rich>
                  <a:bodyPr/>
                  <a:lstStyle/>
                  <a:p>
                    <a:fld id="{02C12C16-FCA5-4F6F-B7E5-26B493B40993}" type="CATEGORYNAME">
                      <a:rPr lang="en-US"/>
                      <a:pPr/>
                      <a:t>[CATEGORY NAME]</a:t>
                    </a:fld>
                    <a:r>
                      <a:rPr lang="en-US" baseline="0"/>
                      <a:t>, </a:t>
                    </a:r>
                    <a:fld id="{3F26880D-9BDF-49CD-9ADD-26A4EAE446EC}" type="VALUE">
                      <a:rPr lang="en-US" baseline="0"/>
                      <a:pPr/>
                      <a:t>[VALUE]</a:t>
                    </a:fld>
                    <a:r>
                      <a:rPr lang="en-US" baseline="0"/>
                      <a:t>, </a:t>
                    </a:r>
                    <a:br>
                      <a:rPr lang="en-US" baseline="0"/>
                    </a:br>
                    <a:fld id="{E38C8C69-7F20-4E33-83B8-7E39FCB60AAF}"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AFD-430A-B3A0-5AD25F016DAA}"/>
                </c:ext>
              </c:extLst>
            </c:dLbl>
            <c:dLbl>
              <c:idx val="4"/>
              <c:layout>
                <c:manualLayout>
                  <c:x val="0.17578735520250799"/>
                  <c:y val="-8.3428543259687141E-2"/>
                </c:manualLayout>
              </c:layout>
              <c:tx>
                <c:rich>
                  <a:bodyPr/>
                  <a:lstStyle/>
                  <a:p>
                    <a:fld id="{8F9604DF-AF90-4C40-A7AA-502E86D6282B}" type="CATEGORYNAME">
                      <a:rPr lang="en-US"/>
                      <a:pPr/>
                      <a:t>[CATEGORY NAME]</a:t>
                    </a:fld>
                    <a:r>
                      <a:rPr lang="en-US" baseline="0"/>
                      <a:t>, </a:t>
                    </a:r>
                    <a:fld id="{67054C5B-79F1-433E-B51C-AF1AD4071487}" type="VALUE">
                      <a:rPr lang="en-US" baseline="0"/>
                      <a:pPr/>
                      <a:t>[VALUE]</a:t>
                    </a:fld>
                    <a:r>
                      <a:rPr lang="en-US" baseline="0"/>
                      <a:t>, </a:t>
                    </a:r>
                    <a:br>
                      <a:rPr lang="en-US" baseline="0"/>
                    </a:br>
                    <a:fld id="{CB17FAE1-C460-45D0-9B69-FB5BD8998635}"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AFD-430A-B3A0-5AD25F016DAA}"/>
                </c:ext>
              </c:extLst>
            </c:dLbl>
            <c:dLbl>
              <c:idx val="5"/>
              <c:layout>
                <c:manualLayout>
                  <c:x val="0.17864370310601635"/>
                  <c:y val="-1.7200733366070722E-2"/>
                </c:manualLayout>
              </c:layout>
              <c:tx>
                <c:rich>
                  <a:bodyPr/>
                  <a:lstStyle/>
                  <a:p>
                    <a:fld id="{97A63D48-FA66-42FB-A9BE-56C729ACB556}" type="CATEGORYNAME">
                      <a:rPr lang="en-US"/>
                      <a:pPr/>
                      <a:t>[CATEGORY NAME]</a:t>
                    </a:fld>
                    <a:r>
                      <a:rPr lang="en-US" baseline="0"/>
                      <a:t>, </a:t>
                    </a:r>
                    <a:fld id="{17011192-6EB7-4B19-B882-52BEC6912DF5}" type="VALUE">
                      <a:rPr lang="en-US" baseline="0"/>
                      <a:pPr/>
                      <a:t>[VALUE]</a:t>
                    </a:fld>
                    <a:r>
                      <a:rPr lang="en-US" baseline="0"/>
                      <a:t>, </a:t>
                    </a:r>
                    <a:br>
                      <a:rPr lang="en-US" baseline="0"/>
                    </a:br>
                    <a:fld id="{10DFD1D1-34B4-43F7-9F9A-9CEFF18EF9D7}"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AFD-430A-B3A0-5AD25F016DAA}"/>
                </c:ext>
              </c:extLst>
            </c:dLbl>
            <c:dLbl>
              <c:idx val="6"/>
              <c:layout>
                <c:manualLayout>
                  <c:x val="0.11557849438431486"/>
                  <c:y val="0.13887086652092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AFD-430A-B3A0-5AD25F016DAA}"/>
                </c:ext>
              </c:extLst>
            </c:dLbl>
            <c:dLbl>
              <c:idx val="7"/>
              <c:layout>
                <c:manualLayout>
                  <c:x val="-9.1930478654832462E-2"/>
                  <c:y val="0.1200007204733889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B74049E-A00F-4EC1-A5D4-EC8F20A91442}" type="CATEGORYNAME">
                      <a:rPr lang="en-US"/>
                      <a:pPr>
                        <a:defRPr/>
                      </a:pPr>
                      <a:t>[CATEGORY NAME]</a:t>
                    </a:fld>
                    <a:r>
                      <a:rPr lang="en-US" baseline="0"/>
                      <a:t>, </a:t>
                    </a:r>
                    <a:fld id="{A0262F07-7531-4DEB-A9BA-3BA2CD51CDB6}" type="VALUE">
                      <a:rPr lang="en-US" baseline="0"/>
                      <a:pPr>
                        <a:defRPr/>
                      </a:pPr>
                      <a:t>[VALUE]</a:t>
                    </a:fld>
                    <a:r>
                      <a:rPr lang="en-US" baseline="0"/>
                      <a:t>, </a:t>
                    </a:r>
                    <a:fld id="{C0D96A7B-0D93-43A5-912D-DDD0285FE1C6}" type="PERCENTAGE">
                      <a:rPr lang="en-US" baseline="0"/>
                      <a:pPr>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6175491314469084"/>
                      <c:h val="0.17803997110522513"/>
                    </c:manualLayout>
                  </c15:layout>
                  <c15:dlblFieldTable/>
                  <c15:showDataLabelsRange val="0"/>
                </c:ext>
                <c:ext xmlns:c16="http://schemas.microsoft.com/office/drawing/2014/chart" uri="{C3380CC4-5D6E-409C-BE32-E72D297353CC}">
                  <c16:uniqueId val="{0000000F-BAFD-430A-B3A0-5AD25F016D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CSB Ancillary Services</c:v>
                </c:pt>
                <c:pt idx="1">
                  <c:v>CSB Mental Health Services</c:v>
                </c:pt>
                <c:pt idx="2">
                  <c:v>CSB Emergency Services</c:v>
                </c:pt>
                <c:pt idx="3">
                  <c:v>CSB Substance Use Disorder Services</c:v>
                </c:pt>
                <c:pt idx="4">
                  <c:v>CSB Developmental Services</c:v>
                </c:pt>
                <c:pt idx="5">
                  <c:v>State Hospital Services*</c:v>
                </c:pt>
                <c:pt idx="6">
                  <c:v>VCBR Services</c:v>
                </c:pt>
                <c:pt idx="7">
                  <c:v>Training Centers and HDMC</c:v>
                </c:pt>
              </c:strCache>
            </c:strRef>
          </c:cat>
          <c:val>
            <c:numRef>
              <c:f>Sheet1!$B$2:$B$9</c:f>
              <c:numCache>
                <c:formatCode>#,##0</c:formatCode>
                <c:ptCount val="8"/>
                <c:pt idx="0">
                  <c:v>92914</c:v>
                </c:pt>
                <c:pt idx="1">
                  <c:v>122164</c:v>
                </c:pt>
                <c:pt idx="2">
                  <c:v>52543</c:v>
                </c:pt>
                <c:pt idx="3">
                  <c:v>24610</c:v>
                </c:pt>
                <c:pt idx="4">
                  <c:v>23554</c:v>
                </c:pt>
                <c:pt idx="5">
                  <c:v>5266</c:v>
                </c:pt>
                <c:pt idx="6" formatCode="General">
                  <c:v>442</c:v>
                </c:pt>
                <c:pt idx="7" formatCode="General">
                  <c:v>153</c:v>
                </c:pt>
              </c:numCache>
            </c:numRef>
          </c:val>
          <c:extLst>
            <c:ext xmlns:c16="http://schemas.microsoft.com/office/drawing/2014/chart" uri="{C3380CC4-5D6E-409C-BE32-E72D297353CC}">
              <c16:uniqueId val="{00000010-BAFD-430A-B3A0-5AD25F016DAA}"/>
            </c:ext>
          </c:extLst>
        </c:ser>
        <c:dLbls>
          <c:showLegendKey val="0"/>
          <c:showVal val="0"/>
          <c:showCatName val="0"/>
          <c:showSerName val="0"/>
          <c:showPercent val="0"/>
          <c:showBubbleSize val="0"/>
          <c:showLeaderLines val="1"/>
        </c:dLbls>
        <c:firstSliceAng val="127"/>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000000"/>
                </a:solidFill>
                <a:latin typeface="+mn-lt"/>
                <a:ea typeface="Times New Roman"/>
                <a:cs typeface="Times New Roman"/>
              </a:defRPr>
            </a:pPr>
            <a:r>
              <a:rPr lang="en-US" sz="1050" baseline="0">
                <a:solidFill>
                  <a:sysClr val="windowText" lastClr="000000"/>
                </a:solidFill>
                <a:latin typeface="+mn-lt"/>
              </a:rPr>
              <a:t>Figure 16:  FY 2022 Total </a:t>
            </a:r>
            <a:r>
              <a:rPr lang="en-US" sz="1050" baseline="0">
                <a:latin typeface="+mn-lt"/>
              </a:rPr>
              <a:t>Funds Received by Type: $2,512,324,989  </a:t>
            </a:r>
          </a:p>
        </c:rich>
      </c:tx>
      <c:layout>
        <c:manualLayout>
          <c:xMode val="edge"/>
          <c:yMode val="edge"/>
          <c:x val="0.13184120203598032"/>
          <c:y val="2.9465057874959875E-2"/>
        </c:manualLayout>
      </c:layout>
      <c:overlay val="0"/>
      <c:spPr>
        <a:noFill/>
        <a:ln w="25363">
          <a:noFill/>
        </a:ln>
      </c:spPr>
    </c:title>
    <c:autoTitleDeleted val="0"/>
    <c:plotArea>
      <c:layout>
        <c:manualLayout>
          <c:layoutTarget val="inner"/>
          <c:xMode val="edge"/>
          <c:yMode val="edge"/>
          <c:x val="0.29834682025210885"/>
          <c:y val="0.13733222579068718"/>
          <c:w val="0.47188221917604428"/>
          <c:h val="0.83852451896750313"/>
        </c:manualLayout>
      </c:layout>
      <c:pieChart>
        <c:varyColors val="1"/>
        <c:ser>
          <c:idx val="0"/>
          <c:order val="0"/>
          <c:tx>
            <c:strRef>
              <c:f>Sheet1!$A$2</c:f>
              <c:strCache>
                <c:ptCount val="1"/>
                <c:pt idx="0">
                  <c:v>Total</c:v>
                </c:pt>
              </c:strCache>
            </c:strRef>
          </c:tx>
          <c:dLbls>
            <c:dLbl>
              <c:idx val="0"/>
              <c:layout>
                <c:manualLayout>
                  <c:x val="2.2979018846377396E-2"/>
                  <c:y val="1.8663266685160301E-2"/>
                </c:manualLayout>
              </c:layout>
              <c:tx>
                <c:rich>
                  <a:bodyPr/>
                  <a:lstStyle/>
                  <a:p>
                    <a:r>
                      <a:rPr lang="en-US" sz="1000" baseline="0">
                        <a:latin typeface="+mn-lt"/>
                      </a:rPr>
                      <a:t>S</a:t>
                    </a:r>
                    <a:r>
                      <a:rPr lang="en-US" sz="1000">
                        <a:latin typeface="+mn-lt"/>
                      </a:rPr>
                      <a:t>tate (49.12%) $1,234,072,280 </a:t>
                    </a:r>
                    <a:endParaRPr lang="en-US"/>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634-4CD7-8629-4F05F5CB26E0}"/>
                </c:ext>
              </c:extLst>
            </c:dLbl>
            <c:dLbl>
              <c:idx val="1"/>
              <c:layout>
                <c:manualLayout>
                  <c:x val="1.3637021333871768E-2"/>
                  <c:y val="5.2732502396931939E-2"/>
                </c:manualLayout>
              </c:layout>
              <c:tx>
                <c:rich>
                  <a:bodyPr/>
                  <a:lstStyle/>
                  <a:p>
                    <a:r>
                      <a:rPr lang="en-US" sz="1000" baseline="0">
                        <a:latin typeface="+mn-lt"/>
                      </a:rPr>
                      <a:t>L</a:t>
                    </a:r>
                    <a:r>
                      <a:rPr lang="en-US" sz="1000">
                        <a:latin typeface="+mn-lt"/>
                      </a:rPr>
                      <a:t>ocal (13.91%) $349,410,946</a:t>
                    </a:r>
                    <a:endParaRPr lang="en-US"/>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634-4CD7-8629-4F05F5CB26E0}"/>
                </c:ext>
              </c:extLst>
            </c:dLbl>
            <c:dLbl>
              <c:idx val="2"/>
              <c:layout>
                <c:manualLayout>
                  <c:x val="-6.5013796352379027E-2"/>
                  <c:y val="-1.4049484963068046E-2"/>
                </c:manualLayout>
              </c:layout>
              <c:tx>
                <c:rich>
                  <a:bodyPr/>
                  <a:lstStyle/>
                  <a:p>
                    <a:r>
                      <a:rPr lang="en-US" sz="1000" baseline="0">
                        <a:latin typeface="+mn-lt"/>
                      </a:rPr>
                      <a:t>Federal Grants (11.44%) $287,375,411</a:t>
                    </a:r>
                    <a:endParaRPr lang="en-US" sz="1200" baseline="0"/>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634-4CD7-8629-4F05F5CB26E0}"/>
                </c:ext>
              </c:extLst>
            </c:dLbl>
            <c:dLbl>
              <c:idx val="3"/>
              <c:layout>
                <c:manualLayout>
                  <c:x val="-0.15908465895204396"/>
                  <c:y val="9.5084956485702449E-2"/>
                </c:manualLayout>
              </c:layout>
              <c:tx>
                <c:rich>
                  <a:bodyPr/>
                  <a:lstStyle/>
                  <a:p>
                    <a:r>
                      <a:rPr lang="en-US" sz="1000" baseline="0">
                        <a:latin typeface="+mn-lt"/>
                      </a:rPr>
                      <a:t>Fees (24.79%) </a:t>
                    </a:r>
                  </a:p>
                  <a:p>
                    <a:r>
                      <a:rPr lang="en-US" sz="1000" baseline="0">
                        <a:latin typeface="+mn-lt"/>
                      </a:rPr>
                      <a:t>$622,799,370</a:t>
                    </a:r>
                    <a:endParaRPr lang="en-US" baseline="0"/>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634-4CD7-8629-4F05F5CB26E0}"/>
                </c:ext>
              </c:extLst>
            </c:dLbl>
            <c:dLbl>
              <c:idx val="4"/>
              <c:layout>
                <c:manualLayout>
                  <c:x val="7.5207618278484503E-2"/>
                  <c:y val="0.11145415834976559"/>
                </c:manualLayout>
              </c:layout>
              <c:tx>
                <c:rich>
                  <a:bodyPr/>
                  <a:lstStyle/>
                  <a:p>
                    <a:r>
                      <a:rPr lang="en-US" sz="1000" baseline="0">
                        <a:latin typeface="+mn-lt"/>
                      </a:rPr>
                      <a:t>O</a:t>
                    </a:r>
                    <a:r>
                      <a:rPr lang="en-US" sz="1000">
                        <a:latin typeface="+mn-lt"/>
                      </a:rPr>
                      <a:t>ther (0.74%)</a:t>
                    </a:r>
                  </a:p>
                  <a:p>
                    <a:r>
                      <a:rPr lang="en-US" sz="1000">
                        <a:latin typeface="+mn-lt"/>
                      </a:rPr>
                      <a:t>$18,666,982</a:t>
                    </a:r>
                    <a:endParaRPr 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634-4CD7-8629-4F05F5CB26E0}"/>
                </c:ext>
              </c:extLst>
            </c:dLbl>
            <c:dLbl>
              <c:idx val="5"/>
              <c:delete val="1"/>
              <c:extLst>
                <c:ext xmlns:c15="http://schemas.microsoft.com/office/drawing/2012/chart" uri="{CE6537A1-D6FC-4f65-9D91-7224C49458BB}"/>
                <c:ext xmlns:c16="http://schemas.microsoft.com/office/drawing/2014/chart" uri="{C3380CC4-5D6E-409C-BE32-E72D297353CC}">
                  <c16:uniqueId val="{00000005-1634-4CD7-8629-4F05F5CB26E0}"/>
                </c:ext>
              </c:extLst>
            </c:dLbl>
            <c:dLbl>
              <c:idx val="6"/>
              <c:delete val="1"/>
              <c:extLst>
                <c:ext xmlns:c15="http://schemas.microsoft.com/office/drawing/2012/chart" uri="{CE6537A1-D6FC-4f65-9D91-7224C49458BB}"/>
                <c:ext xmlns:c16="http://schemas.microsoft.com/office/drawing/2014/chart" uri="{C3380CC4-5D6E-409C-BE32-E72D297353CC}">
                  <c16:uniqueId val="{00000006-1634-4CD7-8629-4F05F5CB26E0}"/>
                </c:ext>
              </c:extLst>
            </c:dLbl>
            <c:spPr>
              <a:noFill/>
              <a:ln w="25363">
                <a:noFill/>
              </a:ln>
            </c:spPr>
            <c:txPr>
              <a:bodyPr/>
              <a:lstStyle/>
              <a:p>
                <a:pPr>
                  <a:defRPr sz="1000" b="0" i="0" u="none" strike="noStrike" baseline="0">
                    <a:solidFill>
                      <a:srgbClr val="000000"/>
                    </a:solidFill>
                    <a:latin typeface="+mn-lt"/>
                    <a:ea typeface="Times New Roman"/>
                    <a:cs typeface="Times New Roman"/>
                  </a:defRPr>
                </a:pPr>
                <a:endParaRPr lang="en-US"/>
              </a:p>
            </c:txPr>
            <c:dLblPos val="outEnd"/>
            <c:showLegendKey val="0"/>
            <c:showVal val="0"/>
            <c:showCatName val="1"/>
            <c:showSerName val="0"/>
            <c:showPercent val="0"/>
            <c:showBubbleSize val="0"/>
            <c:showLeaderLines val="1"/>
            <c:extLst>
              <c:ext xmlns:c15="http://schemas.microsoft.com/office/drawing/2012/chart" uri="{CE6537A1-D6FC-4f65-9D91-7224C49458BB}"/>
            </c:extLst>
          </c:dLbls>
          <c:cat>
            <c:strRef>
              <c:f>Sheet1!$B$1:$H$1</c:f>
              <c:strCache>
                <c:ptCount val="5"/>
                <c:pt idx="0">
                  <c:v>State</c:v>
                </c:pt>
                <c:pt idx="1">
                  <c:v>Local</c:v>
                </c:pt>
                <c:pt idx="2">
                  <c:v>Federal</c:v>
                </c:pt>
                <c:pt idx="3">
                  <c:v>Fees</c:v>
                </c:pt>
                <c:pt idx="4">
                  <c:v>Other</c:v>
                </c:pt>
              </c:strCache>
            </c:strRef>
          </c:cat>
          <c:val>
            <c:numRef>
              <c:f>Sheet1!$B$2:$H$2</c:f>
              <c:numCache>
                <c:formatCode>#,##0.00</c:formatCode>
                <c:ptCount val="7"/>
                <c:pt idx="0">
                  <c:v>1234072279.5599999</c:v>
                </c:pt>
                <c:pt idx="1">
                  <c:v>349410946</c:v>
                </c:pt>
                <c:pt idx="2">
                  <c:v>287375411.25</c:v>
                </c:pt>
                <c:pt idx="3">
                  <c:v>622799370.41999996</c:v>
                </c:pt>
                <c:pt idx="4">
                  <c:v>18666981.73</c:v>
                </c:pt>
              </c:numCache>
            </c:numRef>
          </c:val>
          <c:extLst>
            <c:ext xmlns:c16="http://schemas.microsoft.com/office/drawing/2014/chart" uri="{C3380CC4-5D6E-409C-BE32-E72D297353CC}">
              <c16:uniqueId val="{00000007-1634-4CD7-8629-4F05F5CB26E0}"/>
            </c:ext>
          </c:extLst>
        </c:ser>
        <c:ser>
          <c:idx val="1"/>
          <c:order val="1"/>
          <c:tx>
            <c:strRef>
              <c:f>Sheet1!#REF!</c:f>
              <c:strCache>
                <c:ptCount val="1"/>
                <c:pt idx="0">
                  <c:v>#REF!</c:v>
                </c:pt>
              </c:strCache>
            </c:strRef>
          </c:tx>
          <c:dLbls>
            <c:spPr>
              <a:noFill/>
              <a:ln w="25363">
                <a:noFill/>
              </a:ln>
            </c:spPr>
            <c:txPr>
              <a:bodyPr/>
              <a:lstStyle/>
              <a:p>
                <a:pPr>
                  <a:defRPr sz="1198" b="0" i="0" u="none" strike="noStrike" baseline="0">
                    <a:solidFill>
                      <a:srgbClr val="000000"/>
                    </a:solidFill>
                    <a:latin typeface="Times New Roman"/>
                    <a:ea typeface="Times New Roman"/>
                    <a:cs typeface="Times New Roman"/>
                  </a:defRPr>
                </a:pPr>
                <a:endParaRPr lang="en-US"/>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Sheet1!$B$1:$H$1</c:f>
              <c:strCache>
                <c:ptCount val="5"/>
                <c:pt idx="0">
                  <c:v>State</c:v>
                </c:pt>
                <c:pt idx="1">
                  <c:v>Local</c:v>
                </c:pt>
                <c:pt idx="2">
                  <c:v>Federal</c:v>
                </c:pt>
                <c:pt idx="3">
                  <c:v>Fees</c:v>
                </c:pt>
                <c:pt idx="4">
                  <c:v>Other</c:v>
                </c:pt>
              </c:strCache>
            </c:strRef>
          </c:cat>
          <c:val>
            <c:numRef>
              <c:f>Sheet1!#REF!</c:f>
              <c:numCache>
                <c:formatCode>General</c:formatCode>
                <c:ptCount val="1"/>
                <c:pt idx="0">
                  <c:v>1</c:v>
                </c:pt>
              </c:numCache>
            </c:numRef>
          </c:val>
          <c:extLst>
            <c:ext xmlns:c16="http://schemas.microsoft.com/office/drawing/2014/chart" uri="{C3380CC4-5D6E-409C-BE32-E72D297353CC}">
              <c16:uniqueId val="{00000008-1634-4CD7-8629-4F05F5CB26E0}"/>
            </c:ext>
          </c:extLst>
        </c:ser>
        <c:ser>
          <c:idx val="2"/>
          <c:order val="2"/>
          <c:tx>
            <c:strRef>
              <c:f>Sheet1!#REF!</c:f>
              <c:strCache>
                <c:ptCount val="1"/>
                <c:pt idx="0">
                  <c:v>#REF!</c:v>
                </c:pt>
              </c:strCache>
            </c:strRef>
          </c:tx>
          <c:dLbls>
            <c:spPr>
              <a:noFill/>
              <a:ln w="25363">
                <a:noFill/>
              </a:ln>
            </c:spPr>
            <c:txPr>
              <a:bodyPr/>
              <a:lstStyle/>
              <a:p>
                <a:pPr>
                  <a:defRPr sz="1198" b="0" i="0" u="none" strike="noStrike" baseline="0">
                    <a:solidFill>
                      <a:srgbClr val="000000"/>
                    </a:solidFill>
                    <a:latin typeface="Times New Roman"/>
                    <a:ea typeface="Times New Roman"/>
                    <a:cs typeface="Times New Roman"/>
                  </a:defRPr>
                </a:pPr>
                <a:endParaRPr lang="en-US"/>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Sheet1!$B$1:$H$1</c:f>
              <c:strCache>
                <c:ptCount val="5"/>
                <c:pt idx="0">
                  <c:v>State</c:v>
                </c:pt>
                <c:pt idx="1">
                  <c:v>Local</c:v>
                </c:pt>
                <c:pt idx="2">
                  <c:v>Federal</c:v>
                </c:pt>
                <c:pt idx="3">
                  <c:v>Fees</c:v>
                </c:pt>
                <c:pt idx="4">
                  <c:v>Other</c:v>
                </c:pt>
              </c:strCache>
            </c:strRef>
          </c:cat>
          <c:val>
            <c:numRef>
              <c:f>Sheet1!#REF!</c:f>
              <c:numCache>
                <c:formatCode>General</c:formatCode>
                <c:ptCount val="1"/>
                <c:pt idx="0">
                  <c:v>1</c:v>
                </c:pt>
              </c:numCache>
            </c:numRef>
          </c:val>
          <c:extLst>
            <c:ext xmlns:c16="http://schemas.microsoft.com/office/drawing/2014/chart" uri="{C3380CC4-5D6E-409C-BE32-E72D297353CC}">
              <c16:uniqueId val="{00000009-1634-4CD7-8629-4F05F5CB26E0}"/>
            </c:ext>
          </c:extLst>
        </c:ser>
        <c:dLbls>
          <c:showLegendKey val="0"/>
          <c:showVal val="0"/>
          <c:showCatName val="1"/>
          <c:showSerName val="0"/>
          <c:showPercent val="0"/>
          <c:showBubbleSize val="0"/>
          <c:showLeaderLines val="1"/>
        </c:dLbls>
        <c:firstSliceAng val="40"/>
      </c:pieChart>
      <c:spPr>
        <a:noFill/>
        <a:ln w="25363">
          <a:noFill/>
        </a:ln>
      </c:spPr>
    </c:plotArea>
    <c:plotVisOnly val="1"/>
    <c:dispBlanksAs val="zero"/>
    <c:showDLblsOverMax val="0"/>
  </c:chart>
  <c:spPr>
    <a:noFill/>
    <a:ln w="19050" cap="flat" cmpd="sng" algn="ctr">
      <a:noFill/>
      <a:prstDash val="solid"/>
      <a:miter lim="800000"/>
      <a:headEnd type="none" w="med" len="med"/>
      <a:tailEnd type="none" w="med" len="med"/>
    </a:ln>
  </c:spPr>
  <c:txPr>
    <a:bodyPr/>
    <a:lstStyle/>
    <a:p>
      <a:pPr>
        <a:defRPr sz="1198"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solidFill>
                  <a:sysClr val="windowText" lastClr="000000"/>
                </a:solidFill>
              </a:rPr>
              <a:t>Figure 17:  </a:t>
            </a:r>
            <a:r>
              <a:rPr lang="en-US" sz="1050"/>
              <a:t>FY 2022 Total Funds in the Public Behavioral</a:t>
            </a:r>
          </a:p>
          <a:p>
            <a:pPr>
              <a:defRPr/>
            </a:pPr>
            <a:r>
              <a:rPr lang="en-US" sz="1050"/>
              <a:t>Health &amp; Developmental Services System:  $2,512,324,989</a:t>
            </a:r>
          </a:p>
        </c:rich>
      </c:tx>
      <c:layout>
        <c:manualLayout>
          <c:xMode val="edge"/>
          <c:yMode val="edge"/>
          <c:x val="0.13954147866348168"/>
          <c:y val="3.0303381194997682E-3"/>
        </c:manualLayout>
      </c:layout>
      <c:overlay val="0"/>
    </c:title>
    <c:autoTitleDeleted val="0"/>
    <c:plotArea>
      <c:layout>
        <c:manualLayout>
          <c:layoutTarget val="inner"/>
          <c:xMode val="edge"/>
          <c:yMode val="edge"/>
          <c:x val="0.11244556156864757"/>
          <c:y val="0.15686946317339545"/>
          <c:w val="0.82722614070634048"/>
          <c:h val="0.75569553805775336"/>
        </c:manualLayout>
      </c:layout>
      <c:pieChart>
        <c:varyColors val="1"/>
        <c:ser>
          <c:idx val="0"/>
          <c:order val="0"/>
          <c:tx>
            <c:strRef>
              <c:f>Sheet1!$B$1</c:f>
              <c:strCache>
                <c:ptCount val="1"/>
                <c:pt idx="0">
                  <c:v>Column1</c:v>
                </c:pt>
              </c:strCache>
            </c:strRef>
          </c:tx>
          <c:dLbls>
            <c:dLbl>
              <c:idx val="0"/>
              <c:layout>
                <c:manualLayout>
                  <c:x val="3.4007904184390744E-2"/>
                  <c:y val="-0.16594462788925585"/>
                </c:manualLayout>
              </c:layout>
              <c:tx>
                <c:rich>
                  <a:bodyPr/>
                  <a:lstStyle/>
                  <a:p>
                    <a:r>
                      <a:rPr lang="en-US" sz="1050" baseline="0">
                        <a:latin typeface="+mn-lt"/>
                        <a:cs typeface="Times New Roman" pitchFamily="18" charset="0"/>
                      </a:rPr>
                      <a:t>CSBs</a:t>
                    </a:r>
                    <a:r>
                      <a:rPr lang="en-US" sz="1050">
                        <a:latin typeface="+mn-lt"/>
                        <a:cs typeface="Times New Roman" pitchFamily="18" charset="0"/>
                      </a:rPr>
                      <a:t>
$1,536,788,471
(61.17%)</a:t>
                    </a:r>
                    <a:endParaRPr lang="en-US" sz="1200">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2AE-469F-9D3D-18E4F33B02FB}"/>
                </c:ext>
              </c:extLst>
            </c:dLbl>
            <c:dLbl>
              <c:idx val="1"/>
              <c:layout>
                <c:manualLayout>
                  <c:x val="-2.246686137946529E-2"/>
                  <c:y val="-1.4700477765527473E-2"/>
                </c:manualLayout>
              </c:layout>
              <c:tx>
                <c:rich>
                  <a:bodyPr/>
                  <a:lstStyle/>
                  <a:p>
                    <a:r>
                      <a:rPr lang="en-US" sz="1050" baseline="0">
                        <a:latin typeface="+mn-lt"/>
                        <a:cs typeface="Times New Roman" pitchFamily="18" charset="0"/>
                      </a:rPr>
                      <a:t>C</a:t>
                    </a:r>
                    <a:r>
                      <a:rPr lang="en-US" sz="1050">
                        <a:latin typeface="+mn-lt"/>
                        <a:cs typeface="Times New Roman" pitchFamily="18" charset="0"/>
                      </a:rPr>
                      <a:t>entral Office 
$383,070,807
(15.25%)</a:t>
                    </a:r>
                    <a:endParaRPr lang="en-US" sz="1200">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2AE-469F-9D3D-18E4F33B02FB}"/>
                </c:ext>
              </c:extLst>
            </c:dLbl>
            <c:dLbl>
              <c:idx val="2"/>
              <c:layout>
                <c:manualLayout>
                  <c:x val="-9.5126603556577899E-2"/>
                  <c:y val="0.14461054500540374"/>
                </c:manualLayout>
              </c:layout>
              <c:tx>
                <c:rich>
                  <a:bodyPr/>
                  <a:lstStyle/>
                  <a:p>
                    <a:r>
                      <a:rPr lang="en-US" sz="1050" baseline="0">
                        <a:latin typeface="+mn-lt"/>
                        <a:cs typeface="Times New Roman" pitchFamily="18" charset="0"/>
                      </a:rPr>
                      <a:t>S</a:t>
                    </a:r>
                    <a:r>
                      <a:rPr lang="en-US" sz="1050">
                        <a:latin typeface="+mn-lt"/>
                        <a:cs typeface="Times New Roman" pitchFamily="18" charset="0"/>
                      </a:rPr>
                      <a:t>tate Facilities 
$592,465,711
(23.58%)</a:t>
                    </a:r>
                    <a:endParaRPr lang="en-US" sz="1200">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2AE-469F-9D3D-18E4F33B02FB}"/>
                </c:ext>
              </c:extLst>
            </c:dLbl>
            <c:dLbl>
              <c:idx val="3"/>
              <c:delete val="1"/>
              <c:extLst>
                <c:ext xmlns:c15="http://schemas.microsoft.com/office/drawing/2012/chart" uri="{CE6537A1-D6FC-4f65-9D91-7224C49458BB}"/>
                <c:ext xmlns:c16="http://schemas.microsoft.com/office/drawing/2014/chart" uri="{C3380CC4-5D6E-409C-BE32-E72D297353CC}">
                  <c16:uniqueId val="{00000003-32AE-469F-9D3D-18E4F33B02FB}"/>
                </c:ext>
              </c:extLst>
            </c:dLbl>
            <c:dLbl>
              <c:idx val="4"/>
              <c:delete val="1"/>
              <c:extLst>
                <c:ext xmlns:c15="http://schemas.microsoft.com/office/drawing/2012/chart" uri="{CE6537A1-D6FC-4f65-9D91-7224C49458BB}"/>
                <c:ext xmlns:c16="http://schemas.microsoft.com/office/drawing/2014/chart" uri="{C3380CC4-5D6E-409C-BE32-E72D297353CC}">
                  <c16:uniqueId val="{00000004-32AE-469F-9D3D-18E4F33B02FB}"/>
                </c:ext>
              </c:extLst>
            </c:dLbl>
            <c:dLbl>
              <c:idx val="5"/>
              <c:delete val="1"/>
              <c:extLst>
                <c:ext xmlns:c15="http://schemas.microsoft.com/office/drawing/2012/chart" uri="{CE6537A1-D6FC-4f65-9D91-7224C49458BB}"/>
                <c:ext xmlns:c16="http://schemas.microsoft.com/office/drawing/2014/chart" uri="{C3380CC4-5D6E-409C-BE32-E72D297353CC}">
                  <c16:uniqueId val="{00000005-32AE-469F-9D3D-18E4F33B02FB}"/>
                </c:ext>
              </c:extLst>
            </c:dLbl>
            <c:dLbl>
              <c:idx val="6"/>
              <c:delete val="1"/>
              <c:extLst>
                <c:ext xmlns:c15="http://schemas.microsoft.com/office/drawing/2012/chart" uri="{CE6537A1-D6FC-4f65-9D91-7224C49458BB}"/>
                <c:ext xmlns:c16="http://schemas.microsoft.com/office/drawing/2014/chart" uri="{C3380CC4-5D6E-409C-BE32-E72D297353CC}">
                  <c16:uniqueId val="{00000006-32AE-469F-9D3D-18E4F33B02FB}"/>
                </c:ext>
              </c:extLst>
            </c:dLbl>
            <c:spPr>
              <a:noFill/>
              <a:ln w="22453">
                <a:noFill/>
              </a:ln>
            </c:spPr>
            <c:txPr>
              <a:bodyPr/>
              <a:lstStyle/>
              <a:p>
                <a:pPr>
                  <a:defRPr sz="1050" baseline="0">
                    <a:latin typeface="+mn-lt"/>
                  </a:defRPr>
                </a:pPr>
                <a:endParaRPr lang="en-US"/>
              </a:p>
            </c:txPr>
            <c:dLblPos val="outEnd"/>
            <c:showLegendKey val="0"/>
            <c:showVal val="1"/>
            <c:showCatName val="1"/>
            <c:showSerName val="0"/>
            <c:showPercent val="1"/>
            <c:showBubbleSize val="0"/>
            <c:separator>
</c:separator>
            <c:showLeaderLines val="1"/>
            <c:extLst>
              <c:ext xmlns:c15="http://schemas.microsoft.com/office/drawing/2012/chart" uri="{CE6537A1-D6FC-4f65-9D91-7224C49458BB}"/>
            </c:extLst>
          </c:dLbls>
          <c:cat>
            <c:multiLvlStrRef>
              <c:f>Sheet1!$A$2:$B$4</c:f>
              <c:multiLvlStrCache>
                <c:ptCount val="3"/>
                <c:lvl>
                  <c:pt idx="0">
                    <c:v>1,536,788,471.00</c:v>
                  </c:pt>
                  <c:pt idx="1">
                    <c:v>383,070,807.30</c:v>
                  </c:pt>
                  <c:pt idx="2">
                    <c:v>592,465,710.66</c:v>
                  </c:pt>
                </c:lvl>
                <c:lvl>
                  <c:pt idx="0">
                    <c:v>CSBs</c:v>
                  </c:pt>
                  <c:pt idx="1">
                    <c:v>Central Office</c:v>
                  </c:pt>
                  <c:pt idx="2">
                    <c:v>State Facilities</c:v>
                  </c:pt>
                </c:lvl>
              </c:multiLvlStrCache>
            </c:multiLvlStrRef>
          </c:cat>
          <c:val>
            <c:numRef>
              <c:f>Sheet1!$B$2:$B$8</c:f>
              <c:numCache>
                <c:formatCode>#,##0.00</c:formatCode>
                <c:ptCount val="7"/>
                <c:pt idx="0">
                  <c:v>1536788471</c:v>
                </c:pt>
                <c:pt idx="1">
                  <c:v>383070807.30000001</c:v>
                </c:pt>
                <c:pt idx="2">
                  <c:v>592465710.65999997</c:v>
                </c:pt>
              </c:numCache>
            </c:numRef>
          </c:val>
          <c:extLst>
            <c:ext xmlns:c16="http://schemas.microsoft.com/office/drawing/2014/chart" uri="{C3380CC4-5D6E-409C-BE32-E72D297353CC}">
              <c16:uniqueId val="{00000007-32AE-469F-9D3D-18E4F33B02FB}"/>
            </c:ext>
          </c:extLst>
        </c:ser>
        <c:dLbls>
          <c:showLegendKey val="0"/>
          <c:showVal val="0"/>
          <c:showCatName val="1"/>
          <c:showSerName val="0"/>
          <c:showPercent val="1"/>
          <c:showBubbleSize val="0"/>
          <c:showLeaderLines val="1"/>
        </c:dLbls>
        <c:firstSliceAng val="0"/>
      </c:pieChart>
      <c:spPr>
        <a:noFill/>
        <a:ln w="22453">
          <a:noFill/>
        </a:ln>
      </c:spPr>
    </c:plotArea>
    <c:plotVisOnly val="1"/>
    <c:dispBlanksAs val="zero"/>
    <c:showDLblsOverMax val="0"/>
  </c:chart>
  <c:spPr>
    <a:noFill/>
    <a:ln w="12700">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82CB-5363-4415-8753-67BA75FA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15681</Words>
  <Characters>93657</Characters>
  <Application>Microsoft Office Word</Application>
  <DocSecurity>4</DocSecurity>
  <Lines>780</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109120</CharactersWithSpaces>
  <SharedDoc>false</SharedDoc>
  <HLinks>
    <vt:vector size="78" baseType="variant">
      <vt:variant>
        <vt:i4>4653067</vt:i4>
      </vt:variant>
      <vt:variant>
        <vt:i4>48</vt:i4>
      </vt:variant>
      <vt:variant>
        <vt:i4>0</vt:i4>
      </vt:variant>
      <vt:variant>
        <vt:i4>5</vt:i4>
      </vt:variant>
      <vt:variant>
        <vt:lpwstr>http://www.dbhds.virginia.gov/library/document-library/occ-2010-coreservicestaxonomy7-2v2.pdf</vt:lpwstr>
      </vt:variant>
      <vt:variant>
        <vt:lpwstr/>
      </vt:variant>
      <vt:variant>
        <vt:i4>4128885</vt:i4>
      </vt:variant>
      <vt:variant>
        <vt:i4>45</vt:i4>
      </vt:variant>
      <vt:variant>
        <vt:i4>0</vt:i4>
      </vt:variant>
      <vt:variant>
        <vt:i4>5</vt:i4>
      </vt:variant>
      <vt:variant>
        <vt:lpwstr>http://www.dbhds.virginia.gov/individuals-and-families/human-rights</vt:lpwstr>
      </vt:variant>
      <vt:variant>
        <vt:lpwstr/>
      </vt:variant>
      <vt:variant>
        <vt:i4>4259927</vt:i4>
      </vt:variant>
      <vt:variant>
        <vt:i4>42</vt:i4>
      </vt:variant>
      <vt:variant>
        <vt:i4>0</vt:i4>
      </vt:variant>
      <vt:variant>
        <vt:i4>5</vt:i4>
      </vt:variant>
      <vt:variant>
        <vt:lpwstr>http://www.dbhds.virginia.gov/professionals-and-service-providers/data and financial information</vt:lpwstr>
      </vt:variant>
      <vt:variant>
        <vt:lpwstr/>
      </vt:variant>
      <vt:variant>
        <vt:i4>2162741</vt:i4>
      </vt:variant>
      <vt:variant>
        <vt:i4>39</vt:i4>
      </vt:variant>
      <vt:variant>
        <vt:i4>0</vt:i4>
      </vt:variant>
      <vt:variant>
        <vt:i4>5</vt:i4>
      </vt:variant>
      <vt:variant>
        <vt:lpwstr>http://www.dbhds.virginia.gov/individuals-and-families/developmental-disabilities/doj-settlement-agreement</vt:lpwstr>
      </vt:variant>
      <vt:variant>
        <vt:lpwstr/>
      </vt:variant>
      <vt:variant>
        <vt:i4>4587594</vt:i4>
      </vt:variant>
      <vt:variant>
        <vt:i4>36</vt:i4>
      </vt:variant>
      <vt:variant>
        <vt:i4>0</vt:i4>
      </vt:variant>
      <vt:variant>
        <vt:i4>5</vt:i4>
      </vt:variant>
      <vt:variant>
        <vt:lpwstr>http://www.dbhds.virginia.gov/library/document-library/child-adol discharge protocol - 8-14 final.pdf</vt:lpwstr>
      </vt:variant>
      <vt:variant>
        <vt:lpwstr/>
      </vt:variant>
      <vt:variant>
        <vt:i4>4784193</vt:i4>
      </vt:variant>
      <vt:variant>
        <vt:i4>33</vt:i4>
      </vt:variant>
      <vt:variant>
        <vt:i4>0</vt:i4>
      </vt:variant>
      <vt:variant>
        <vt:i4>5</vt:i4>
      </vt:variant>
      <vt:variant>
        <vt:lpwstr>http://www.dbhds.virginia.gov/library/document-library/omh-dischargeprotocols.pdf</vt:lpwstr>
      </vt:variant>
      <vt:variant>
        <vt:lpwstr/>
      </vt:variant>
      <vt:variant>
        <vt:i4>5767254</vt:i4>
      </vt:variant>
      <vt:variant>
        <vt:i4>30</vt:i4>
      </vt:variant>
      <vt:variant>
        <vt:i4>0</vt:i4>
      </vt:variant>
      <vt:variant>
        <vt:i4>5</vt:i4>
      </vt:variant>
      <vt:variant>
        <vt:lpwstr>https://www.dcjs.virginia.gov/research/documents/Jails SA survey FINAL REPORT.pdf</vt:lpwstr>
      </vt:variant>
      <vt:variant>
        <vt:lpwstr/>
      </vt:variant>
      <vt:variant>
        <vt:i4>3473528</vt:i4>
      </vt:variant>
      <vt:variant>
        <vt:i4>21</vt:i4>
      </vt:variant>
      <vt:variant>
        <vt:i4>0</vt:i4>
      </vt:variant>
      <vt:variant>
        <vt:i4>5</vt:i4>
      </vt:variant>
      <vt:variant>
        <vt:lpwstr>http://www.dbhds.virginia.gov/library/document-library/occccs 3 extract specifications version 72 including rev 1 oct 2014.pdf</vt:lpwstr>
      </vt:variant>
      <vt:variant>
        <vt:lpwstr/>
      </vt:variant>
      <vt:variant>
        <vt:i4>4653067</vt:i4>
      </vt:variant>
      <vt:variant>
        <vt:i4>15</vt:i4>
      </vt:variant>
      <vt:variant>
        <vt:i4>0</vt:i4>
      </vt:variant>
      <vt:variant>
        <vt:i4>5</vt:i4>
      </vt:variant>
      <vt:variant>
        <vt:lpwstr>http://www.dbhds.virginia.gov/library/document-library/occ-2010-coreservicestaxonomy7-2v2.pdf</vt:lpwstr>
      </vt:variant>
      <vt:variant>
        <vt:lpwstr/>
      </vt:variant>
      <vt:variant>
        <vt:i4>3866731</vt:i4>
      </vt:variant>
      <vt:variant>
        <vt:i4>9</vt:i4>
      </vt:variant>
      <vt:variant>
        <vt:i4>0</vt:i4>
      </vt:variant>
      <vt:variant>
        <vt:i4>5</vt:i4>
      </vt:variant>
      <vt:variant>
        <vt:lpwstr>http://www.dbhds.virginia.gov/library/document-library/occ-csb-overview.pdf</vt:lpwstr>
      </vt:variant>
      <vt:variant>
        <vt:lpwstr/>
      </vt:variant>
      <vt:variant>
        <vt:i4>262237</vt:i4>
      </vt:variant>
      <vt:variant>
        <vt:i4>6</vt:i4>
      </vt:variant>
      <vt:variant>
        <vt:i4>0</vt:i4>
      </vt:variant>
      <vt:variant>
        <vt:i4>5</vt:i4>
      </vt:variant>
      <vt:variant>
        <vt:lpwstr>http://www.dbhds.virginia.gov/library/document-library/15 pc partnership agreement final.pdf</vt:lpwstr>
      </vt:variant>
      <vt:variant>
        <vt:lpwstr/>
      </vt:variant>
      <vt:variant>
        <vt:i4>4063336</vt:i4>
      </vt:variant>
      <vt:variant>
        <vt:i4>0</vt:i4>
      </vt:variant>
      <vt:variant>
        <vt:i4>0</vt:i4>
      </vt:variant>
      <vt:variant>
        <vt:i4>5</vt:i4>
      </vt:variant>
      <vt:variant>
        <vt:lpwstr>http://www.dbhds.virginia.gov/</vt:lpwstr>
      </vt:variant>
      <vt:variant>
        <vt:lpwstr/>
      </vt:variant>
      <vt:variant>
        <vt:i4>4063336</vt:i4>
      </vt:variant>
      <vt:variant>
        <vt:i4>2</vt:i4>
      </vt:variant>
      <vt:variant>
        <vt:i4>0</vt:i4>
      </vt:variant>
      <vt:variant>
        <vt:i4>5</vt:i4>
      </vt:variant>
      <vt:variant>
        <vt:lpwstr>http://www.dbhds.virginia.gov/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2022-11-23T13:32:00Z</dcterms:created>
  <dcterms:modified xsi:type="dcterms:W3CDTF">2022-11-23T13:32:00Z</dcterms:modified>
</cp:coreProperties>
</file>